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2400"/>
        <w:jc w:val="center"/>
      </w:pPr>
      <w:r>
        <w:rPr>
          <w:rFonts w:ascii="Times New Roman" w:cs="Times New Roman" w:eastAsia="思源黑体" w:hAnsi="Times New Roman"/>
          <w:b/>
          <w:bCs/>
          <w:sz w:val="36"/>
          <w:szCs w:val="36"/>
        </w:rPr>
        <w:t xml:space="preserve">增强现实眼镜、助听设备与人工智能协同：</w:t>
      </w:r>
    </w:p>
    <w:p>
      <w:pPr>
        <w:spacing w:after="400"/>
        <w:jc w:val="center"/>
      </w:pPr>
      <w:r>
        <w:rPr>
          <w:rFonts w:ascii="Times New Roman" w:cs="Times New Roman" w:eastAsia="思源黑体" w:hAnsi="Times New Roman"/>
          <w:b/>
          <w:bCs/>
          <w:sz w:val="36"/>
          <w:szCs w:val="36"/>
        </w:rPr>
        <w:t xml:space="preserve">面向听障学习者的多模态沟通支持及其在特殊教育中的应用进展与需求研究</w:t>
      </w:r>
    </w:p>
    <w:p>
      <w:pPr>
        <w:spacing w:after="2400"/>
        <w:jc w:val="center"/>
      </w:pPr>
      <w:r>
        <w:rPr>
          <w:rFonts w:ascii="Times New Roman" w:cs="Times New Roman" w:eastAsia="思源黑体" w:hAnsi="Times New Roman"/>
          <w:sz w:val="22"/>
          <w:szCs w:val="22"/>
        </w:rPr>
        <w:t xml:space="preserve">（AR Glasses, Hearing Assistance, and AI for Deaf and Hard-of-Hearing Learners: A Special-Education Review of Multimodal Communication Support）</w:t>
      </w:r>
    </w:p>
    <w:p>
      <w:pPr>
        <w:spacing w:after="200"/>
        <w:jc w:val="center"/>
      </w:pPr>
      <w:r>
        <w:rPr>
          <w:rFonts w:ascii="Times New Roman" w:cs="Times New Roman" w:eastAsia="思源黑体" w:hAnsi="Times New Roman"/>
          <w:sz w:val="24"/>
          <w:szCs w:val="24"/>
        </w:rPr>
        <w:t xml:space="preserve">APA 第七版格式　·　特教领域综述研究</w:t>
      </w:r>
    </w:p>
    <w:p>
      <w:r>
        <w:br w:type="page"/>
      </w:r>
    </w:p>
    <w:p>
      <w:pPr>
        <w:pStyle w:val="Heading1"/>
      </w:pPr>
      <w:r>
        <w:rPr>
          <w:rFonts w:ascii="Times New Roman" w:cs="Times New Roman" w:eastAsia="思源黑体" w:hAnsi="Times New Roman"/>
          <w:b/>
          <w:bCs/>
          <w:sz w:val="30"/>
          <w:szCs w:val="30"/>
        </w:rPr>
        <w:t xml:space="preserve">摘要</w:t>
      </w:r>
    </w:p>
    <w:p>
      <w:pPr>
        <w:spacing w:after="120" w:line="480"/>
        <w:ind w:firstLine="480"/>
        <w:jc w:val="both"/>
      </w:pPr>
      <w:r>
        <w:rPr>
          <w:rFonts w:ascii="Times New Roman" w:cs="Times New Roman" w:eastAsia="思源黑体" w:hAnsi="Times New Roman"/>
          <w:sz w:val="24"/>
          <w:szCs w:val="24"/>
        </w:rPr>
        <w:t xml:space="preserve">听障学习者（deaf and hard-of-hearing, DHH）在课堂与日常生活中面临以听觉通道为中心的信息获取壁垒：言语接收受限、课堂字幕缺失、手语沟通资源不足，常导致其语言、读写与社会参与落后。随着增强现实（AR）眼镜、人工智能（AI）语音识别与空间音频处理、助听/人工耳蜗设备的协同发展，一种“</w:t>
      </w:r>
      <w:r>
        <w:rPr>
          <w:rFonts w:ascii="Times New Roman" w:cs="Times New Roman" w:eastAsia="思源黑体" w:hAnsi="Times New Roman"/>
          <w:b/>
          <w:bCs/>
          <w:sz w:val="24"/>
          <w:szCs w:val="24"/>
        </w:rPr>
        <w:t xml:space="preserve">语音→实时文字/图形符号→多通道反馈</w:t>
      </w:r>
      <w:r>
        <w:rPr>
          <w:rFonts w:ascii="Times New Roman" w:cs="Times New Roman" w:eastAsia="思源黑体" w:hAnsi="Times New Roman"/>
          <w:sz w:val="24"/>
          <w:szCs w:val="24"/>
        </w:rPr>
        <w:t xml:space="preserve">”的沟通支持路径正在成形。本文采用范围性系统综述与需求分析方法，检索并整合2021—2026年国内外实证研究、系统综述、技术报告与政策法规，重点考察三类技术及其协同：(a) 面向残存听力的AI助听与耳蜗设备；(b) AR眼镜的实时语音转写、字幕与手语/图形符号可视化；(c) 生成式AI将语义转化为象形图形（如“你要喝水吗”同步呈现文字与喝水图形）的多模态呈现。</w:t>
      </w:r>
    </w:p>
    <w:p>
      <w:pPr>
        <w:spacing w:after="120" w:line="480"/>
        <w:ind w:firstLine="480"/>
        <w:jc w:val="both"/>
      </w:pPr>
      <w:r>
        <w:rPr>
          <w:rFonts w:ascii="Times New Roman" w:cs="Times New Roman" w:eastAsia="思源黑体" w:hAnsi="Times New Roman"/>
          <w:sz w:val="24"/>
          <w:szCs w:val="24"/>
        </w:rPr>
        <w:t xml:space="preserve">研究发现，现有证据支持AR与VR在DHH手语教学、词汇习得、言语训练与认知干预中具有</w:t>
      </w:r>
      <w:r>
        <w:rPr>
          <w:rFonts w:ascii="Times New Roman" w:cs="Times New Roman" w:eastAsia="思源黑体" w:hAnsi="Times New Roman"/>
          <w:b/>
          <w:bCs/>
          <w:sz w:val="24"/>
          <w:szCs w:val="24"/>
        </w:rPr>
        <w:t xml:space="preserve">中等且初步的积极效应</w:t>
      </w:r>
      <w:r>
        <w:rPr>
          <w:rFonts w:ascii="Times New Roman" w:cs="Times New Roman" w:eastAsia="思源黑体" w:hAnsi="Times New Roman"/>
          <w:sz w:val="24"/>
          <w:szCs w:val="24"/>
        </w:rPr>
        <w:t xml:space="preserve">（Borna et al., 2024系统综述纳入22项研究；AR多感官图书准实验 n=60，t(58)=6.305，p&lt;.001；Liu et al. 普通话VR发音训练试点显示言语产出改善），但专项、大样本、长期随访的课堂研究仍稀缺。技术落地的核心需求可归纳为：以残存听力与助听设备为声学基础、以AR眼镜为“眼前字幕与符号层”、以AI语义图形生成为理解与泛化桥梁，并由特教教师主导个别化教育计划（IEP）与功能评估。本文据此提出“</w:t>
      </w:r>
      <w:r>
        <w:rPr>
          <w:rFonts w:ascii="Times New Roman" w:cs="Times New Roman" w:eastAsia="思源黑体" w:hAnsi="Times New Roman"/>
          <w:b/>
          <w:bCs/>
          <w:sz w:val="24"/>
          <w:szCs w:val="24"/>
        </w:rPr>
        <w:t xml:space="preserve">声学—视觉—符号—人际</w:t>
      </w:r>
      <w:r>
        <w:rPr>
          <w:rFonts w:ascii="Times New Roman" w:cs="Times New Roman" w:eastAsia="思源黑体" w:hAnsi="Times New Roman"/>
          <w:sz w:val="24"/>
          <w:szCs w:val="24"/>
        </w:rPr>
        <w:t xml:space="preserve">”四层协同模型与标准化实施流程，并设立独立伦理章节，讨论知情同意、视听与行为数据隐私、算法偏差、手语语言权与文化身份、XR眩晕与数字鸿沟等问题。结论主张：该集成系统应定位为“教师主导、人本优先”的沟通脚手架，而非对手语、口语康复或特教教师的替代；未来需在真实随班就读与资源教室场景中开展本土化、长期、参与式（co-design）实证研究。</w:t>
      </w:r>
    </w:p>
    <w:p>
      <w:pPr>
        <w:spacing w:after="120" w:before="160"/>
        <w:ind w:firstLine="480"/>
      </w:pPr>
      <w:r>
        <w:rPr>
          <w:rFonts w:ascii="Times New Roman" w:cs="Times New Roman" w:eastAsia="思源黑体" w:hAnsi="Times New Roman"/>
          <w:b/>
          <w:bCs/>
          <w:sz w:val="24"/>
          <w:szCs w:val="24"/>
        </w:rPr>
        <w:t xml:space="preserve">关键词：</w:t>
      </w:r>
      <w:r>
        <w:rPr>
          <w:rFonts w:ascii="Times New Roman" w:cs="Times New Roman" w:eastAsia="思源黑体" w:hAnsi="Times New Roman"/>
          <w:sz w:val="24"/>
          <w:szCs w:val="24"/>
        </w:rPr>
        <w:t xml:space="preserve">增强现实；人工智能；听障；助听器；手语；图形符号；特殊教育；无障碍</w:t>
      </w:r>
    </w:p>
    <w:p>
      <w:pPr>
        <w:pStyle w:val="Heading1"/>
      </w:pPr>
      <w:r>
        <w:rPr>
          <w:rFonts w:ascii="Times New Roman" w:cs="Times New Roman" w:eastAsia="思源黑体" w:hAnsi="Times New Roman"/>
          <w:b/>
          <w:bCs/>
          <w:sz w:val="30"/>
          <w:szCs w:val="30"/>
        </w:rPr>
        <w:t xml:space="preserve">Abstract</w:t>
      </w:r>
    </w:p>
    <w:p>
      <w:pPr>
        <w:spacing w:after="120" w:line="480"/>
        <w:ind w:firstLine="480"/>
        <w:jc w:val="both"/>
      </w:pPr>
      <w:r>
        <w:rPr>
          <w:rFonts w:ascii="Times New Roman" w:cs="Times New Roman" w:eastAsia="思源黑体" w:hAnsi="Times New Roman"/>
          <w:sz w:val="24"/>
          <w:szCs w:val="24"/>
        </w:rPr>
        <w:t xml:space="preserve">Learners who are deaf or hard-of-hearing (DHH) encounter persistent auditory-centric barriers to information access, including limited speech reception, absent classroom captioning, and insufficient sign-language resources, which contribute to gaps in language, literacy, and social participation. The convergence of augmented-reality (AR) glasses, AI-driven speech recognition and spatial audio, and hearing-aid/cochlear-implant technology has given rise to a multimodal communication-support pathway: </w:t>
      </w:r>
      <w:r>
        <w:rPr>
          <w:rFonts w:ascii="Times New Roman" w:cs="Times New Roman" w:eastAsia="思源黑体" w:hAnsi="Times New Roman"/>
          <w:b/>
          <w:bCs/>
          <w:i/>
          <w:iCs/>
          <w:sz w:val="24"/>
          <w:szCs w:val="24"/>
        </w:rPr>
        <w:t xml:space="preserve">speech → real-time text/graphic symbols → multichannel feedback</w:t>
      </w:r>
      <w:r>
        <w:rPr>
          <w:rFonts w:ascii="Times New Roman" w:cs="Times New Roman" w:eastAsia="思源黑体" w:hAnsi="Times New Roman"/>
          <w:sz w:val="24"/>
          <w:szCs w:val="24"/>
        </w:rPr>
        <w:t xml:space="preserve">. Adopting a scoping review and needs-analysis design, this paper synthesizes empirical studies, systematic reviews, technical reports, and policy documents from 2021–2026, focusing on three converged technologies: (a) AI hearing assistance for residual hearing, (b) real-time captioning, sign-language, and symbolic visualization on AR glasses, and (c) generative-AI conversion of semantics into pictographic graphics (e.g., rendering “Do you want a drink?” as both text and a drinking pictogram).</w:t>
      </w:r>
    </w:p>
    <w:p>
      <w:pPr>
        <w:spacing w:after="120" w:line="480"/>
        <w:ind w:firstLine="480"/>
        <w:jc w:val="both"/>
      </w:pPr>
      <w:r>
        <w:rPr>
          <w:rFonts w:ascii="Times New Roman" w:cs="Times New Roman" w:eastAsia="思源黑体" w:hAnsi="Times New Roman"/>
          <w:sz w:val="24"/>
          <w:szCs w:val="24"/>
        </w:rPr>
        <w:t xml:space="preserve">Evidence supports moderate but preliminary positive effects of AR/VR for DHH sign-language instruction, vocabulary acquisition, speech training, and cognitive intervention (Borna et al., 2024, 22 studies in a systematic review; an AR sensory-book quasi-experiment, n=60, t(58)=6.305, p&lt;.001; Liu et al.’s Mandarin VR articulation pilot showing improved speech production). Yet well-powered, long-term, classroom-based, DHH-specific trials remain scarce. Core implementation needs are: residual hearing and hearing devices as the acoustic foundation; AR glasses as an in-situ captioning and symbol layer; AI-generated semantic graphics as a bridge to comprehension and generalization; and special-education teachers leading the IEP and functional assessment. This paper proposes an acoustic–visual–symbolic–interpersonal four-tier collaborative model and a standardized protocol, with an independent ethics chapter addressing informed consent, audiovisual/data privacy, algorithmic bias, sign-language rights and Deaf cultural identity, XR cybersickness, and the digital divide. The system should serve as a teacher-led, human-centered communication scaffold rather than a replacement for sign language, aural rehabilitation, or special educators. Future research should pursue localized, longitudinal, participatory studies in inclusive and resource-room settings.</w:t>
      </w:r>
    </w:p>
    <w:p>
      <w:pPr>
        <w:spacing w:after="240" w:before="160"/>
        <w:ind w:firstLine="480"/>
      </w:pPr>
      <w:r>
        <w:rPr>
          <w:rFonts w:ascii="Times New Roman" w:cs="Times New Roman" w:eastAsia="思源黑体" w:hAnsi="Times New Roman"/>
          <w:b/>
          <w:bCs/>
          <w:sz w:val="24"/>
          <w:szCs w:val="24"/>
        </w:rPr>
        <w:t xml:space="preserve">Keywords: </w:t>
      </w:r>
      <w:r>
        <w:rPr>
          <w:rFonts w:ascii="Times New Roman" w:cs="Times New Roman" w:eastAsia="思源黑体" w:hAnsi="Times New Roman"/>
          <w:sz w:val="24"/>
          <w:szCs w:val="24"/>
        </w:rPr>
        <w:t xml:space="preserve">augmented reality; artificial intelligence; deaf and hard-of-hearing; hearing aids; sign language; graphic symbols; special education; accessibility</w:t>
      </w:r>
    </w:p>
    <w:p>
      <w:r>
        <w:br w:type="page"/>
      </w:r>
    </w:p>
    <w:p>
      <w:pPr>
        <w:pStyle w:val="Heading1"/>
      </w:pPr>
      <w:r>
        <w:rPr>
          <w:rFonts w:ascii="Times New Roman" w:cs="Times New Roman" w:eastAsia="思源黑体" w:hAnsi="Times New Roman"/>
          <w:b/>
          <w:bCs/>
          <w:sz w:val="30"/>
          <w:szCs w:val="30"/>
        </w:rPr>
        <w:t xml:space="preserve">目录</w:t>
      </w:r>
    </w:p>
    <w:p>
      <w:pPr>
        <w:spacing w:after="20" w:line="360"/>
        <w:ind w:left="480"/>
      </w:pPr>
      <w:r>
        <w:rPr>
          <w:rFonts w:ascii="Times New Roman" w:cs="Times New Roman" w:eastAsia="思源黑体" w:hAnsi="Times New Roman"/>
          <w:b w:val="false"/>
          <w:bCs w:val="false"/>
          <w:sz w:val="22"/>
          <w:szCs w:val="22"/>
        </w:rPr>
        <w:t xml:space="preserve">摘要</w:t>
      </w:r>
    </w:p>
    <w:p>
      <w:pPr>
        <w:spacing w:after="20" w:line="360"/>
        <w:ind w:left="480"/>
      </w:pPr>
      <w:r>
        <w:rPr>
          <w:rFonts w:ascii="Times New Roman" w:cs="Times New Roman" w:eastAsia="思源黑体" w:hAnsi="Times New Roman"/>
          <w:b w:val="false"/>
          <w:bCs w:val="false"/>
          <w:sz w:val="22"/>
          <w:szCs w:val="22"/>
        </w:rPr>
        <w:t xml:space="preserve">Abstract</w:t>
      </w:r>
    </w:p>
    <w:p>
      <w:pPr>
        <w:spacing w:after="20" w:line="360"/>
        <w:ind w:left="0"/>
      </w:pPr>
      <w:r>
        <w:rPr>
          <w:rFonts w:ascii="Times New Roman" w:cs="Times New Roman" w:eastAsia="思源黑体" w:hAnsi="Times New Roman"/>
          <w:b/>
          <w:bCs/>
          <w:sz w:val="22"/>
          <w:szCs w:val="22"/>
        </w:rPr>
        <w:t xml:space="preserve">第一章　绪论</w:t>
      </w:r>
    </w:p>
    <w:p>
      <w:pPr>
        <w:spacing w:after="20" w:line="360"/>
        <w:ind w:left="480"/>
      </w:pPr>
      <w:r>
        <w:rPr>
          <w:rFonts w:ascii="Times New Roman" w:cs="Times New Roman" w:eastAsia="思源黑体" w:hAnsi="Times New Roman"/>
          <w:b w:val="false"/>
          <w:bCs w:val="false"/>
          <w:sz w:val="22"/>
          <w:szCs w:val="22"/>
        </w:rPr>
        <w:t xml:space="preserve">　1.1　研究背景与问题提出</w:t>
      </w:r>
    </w:p>
    <w:p>
      <w:pPr>
        <w:spacing w:after="20" w:line="360"/>
        <w:ind w:left="480"/>
      </w:pPr>
      <w:r>
        <w:rPr>
          <w:rFonts w:ascii="Times New Roman" w:cs="Times New Roman" w:eastAsia="思源黑体" w:hAnsi="Times New Roman"/>
          <w:b w:val="false"/>
          <w:bCs w:val="false"/>
          <w:sz w:val="22"/>
          <w:szCs w:val="22"/>
        </w:rPr>
        <w:t xml:space="preserve">　1.2　研究目的与研究问题</w:t>
      </w:r>
    </w:p>
    <w:p>
      <w:pPr>
        <w:spacing w:after="20" w:line="360"/>
        <w:ind w:left="480"/>
      </w:pPr>
      <w:r>
        <w:rPr>
          <w:rFonts w:ascii="Times New Roman" w:cs="Times New Roman" w:eastAsia="思源黑体" w:hAnsi="Times New Roman"/>
          <w:b w:val="false"/>
          <w:bCs w:val="false"/>
          <w:sz w:val="22"/>
          <w:szCs w:val="22"/>
        </w:rPr>
        <w:t xml:space="preserve">　1.3　研究方法与文献范围</w:t>
      </w:r>
    </w:p>
    <w:p>
      <w:pPr>
        <w:spacing w:after="20" w:line="360"/>
        <w:ind w:left="480"/>
      </w:pPr>
      <w:r>
        <w:rPr>
          <w:rFonts w:ascii="Times New Roman" w:cs="Times New Roman" w:eastAsia="思源黑体" w:hAnsi="Times New Roman"/>
          <w:b w:val="false"/>
          <w:bCs w:val="false"/>
          <w:sz w:val="22"/>
          <w:szCs w:val="22"/>
        </w:rPr>
        <w:t xml:space="preserve">　1.4　核心概念界定</w:t>
      </w:r>
    </w:p>
    <w:p>
      <w:pPr>
        <w:spacing w:after="20" w:line="360"/>
        <w:ind w:left="0"/>
      </w:pPr>
      <w:r>
        <w:rPr>
          <w:rFonts w:ascii="Times New Roman" w:cs="Times New Roman" w:eastAsia="思源黑体" w:hAnsi="Times New Roman"/>
          <w:b/>
          <w:bCs/>
          <w:sz w:val="22"/>
          <w:szCs w:val="22"/>
        </w:rPr>
        <w:t xml:space="preserve">第二章　理论基础与文献综述</w:t>
      </w:r>
    </w:p>
    <w:p>
      <w:pPr>
        <w:spacing w:after="20" w:line="360"/>
        <w:ind w:left="480"/>
      </w:pPr>
      <w:r>
        <w:rPr>
          <w:rFonts w:ascii="Times New Roman" w:cs="Times New Roman" w:eastAsia="思源黑体" w:hAnsi="Times New Roman"/>
          <w:b w:val="false"/>
          <w:bCs w:val="false"/>
          <w:sz w:val="22"/>
          <w:szCs w:val="22"/>
        </w:rPr>
        <w:t xml:space="preserve">　2.1　听障学习者的沟通与学习需求</w:t>
      </w:r>
    </w:p>
    <w:p>
      <w:pPr>
        <w:spacing w:after="20" w:line="360"/>
        <w:ind w:left="480"/>
      </w:pPr>
      <w:r>
        <w:rPr>
          <w:rFonts w:ascii="Times New Roman" w:cs="Times New Roman" w:eastAsia="思源黑体" w:hAnsi="Times New Roman"/>
          <w:b w:val="false"/>
          <w:bCs w:val="false"/>
          <w:sz w:val="22"/>
          <w:szCs w:val="22"/>
        </w:rPr>
        <w:t xml:space="preserve">　2.2　AR/VR在听障教育中的应用进展</w:t>
      </w:r>
    </w:p>
    <w:p>
      <w:pPr>
        <w:spacing w:after="20" w:line="360"/>
        <w:ind w:left="480"/>
      </w:pPr>
      <w:r>
        <w:rPr>
          <w:rFonts w:ascii="Times New Roman" w:cs="Times New Roman" w:eastAsia="思源黑体" w:hAnsi="Times New Roman"/>
          <w:b w:val="false"/>
          <w:bCs w:val="false"/>
          <w:sz w:val="22"/>
          <w:szCs w:val="22"/>
        </w:rPr>
        <w:t xml:space="preserve">　2.3　AI助听、人工耳蜗与残存听力的协同</w:t>
      </w:r>
    </w:p>
    <w:p>
      <w:pPr>
        <w:spacing w:after="20" w:line="360"/>
        <w:ind w:left="480"/>
      </w:pPr>
      <w:r>
        <w:rPr>
          <w:rFonts w:ascii="Times New Roman" w:cs="Times New Roman" w:eastAsia="思源黑体" w:hAnsi="Times New Roman"/>
          <w:b w:val="false"/>
          <w:bCs w:val="false"/>
          <w:sz w:val="22"/>
          <w:szCs w:val="22"/>
        </w:rPr>
        <w:t xml:space="preserve">　2.4　AI语义图形与手语/符号多模态呈现</w:t>
      </w:r>
    </w:p>
    <w:p>
      <w:pPr>
        <w:spacing w:after="20" w:line="360"/>
        <w:ind w:left="480"/>
      </w:pPr>
      <w:r>
        <w:rPr>
          <w:rFonts w:ascii="Times New Roman" w:cs="Times New Roman" w:eastAsia="思源黑体" w:hAnsi="Times New Roman"/>
          <w:b w:val="false"/>
          <w:bCs w:val="false"/>
          <w:sz w:val="22"/>
          <w:szCs w:val="22"/>
        </w:rPr>
        <w:t xml:space="preserve">　2.5　国内外政策与无障碍标准</w:t>
      </w:r>
    </w:p>
    <w:p>
      <w:pPr>
        <w:spacing w:after="20" w:line="360"/>
        <w:ind w:left="0"/>
      </w:pPr>
      <w:r>
        <w:rPr>
          <w:rFonts w:ascii="Times New Roman" w:cs="Times New Roman" w:eastAsia="思源黑体" w:hAnsi="Times New Roman"/>
          <w:b/>
          <w:bCs/>
          <w:sz w:val="22"/>
          <w:szCs w:val="22"/>
        </w:rPr>
        <w:t xml:space="preserve">第三章　“眼镜—耳机—AI图形”集成方法与技术架构</w:t>
      </w:r>
    </w:p>
    <w:p>
      <w:pPr>
        <w:spacing w:after="20" w:line="360"/>
        <w:ind w:left="480"/>
      </w:pPr>
      <w:r>
        <w:rPr>
          <w:rFonts w:ascii="Times New Roman" w:cs="Times New Roman" w:eastAsia="思源黑体" w:hAnsi="Times New Roman"/>
          <w:b w:val="false"/>
          <w:bCs w:val="false"/>
          <w:sz w:val="22"/>
          <w:szCs w:val="22"/>
        </w:rPr>
        <w:t xml:space="preserve">　3.1　总体设计理念</w:t>
      </w:r>
    </w:p>
    <w:p>
      <w:pPr>
        <w:spacing w:after="20" w:line="360"/>
        <w:ind w:left="480"/>
      </w:pPr>
      <w:r>
        <w:rPr>
          <w:rFonts w:ascii="Times New Roman" w:cs="Times New Roman" w:eastAsia="思源黑体" w:hAnsi="Times New Roman"/>
          <w:b w:val="false"/>
          <w:bCs w:val="false"/>
          <w:sz w:val="22"/>
          <w:szCs w:val="22"/>
        </w:rPr>
        <w:t xml:space="preserve">　3.2　输入层：麦克风阵列、声源定位与助听信号处理</w:t>
      </w:r>
    </w:p>
    <w:p>
      <w:pPr>
        <w:spacing w:after="20" w:line="360"/>
        <w:ind w:left="480"/>
      </w:pPr>
      <w:r>
        <w:rPr>
          <w:rFonts w:ascii="Times New Roman" w:cs="Times New Roman" w:eastAsia="思源黑体" w:hAnsi="Times New Roman"/>
          <w:b w:val="false"/>
          <w:bCs w:val="false"/>
          <w:sz w:val="22"/>
          <w:szCs w:val="22"/>
        </w:rPr>
        <w:t xml:space="preserve">　3.3　处理层：ASR、NLP与语义图形生成</w:t>
      </w:r>
    </w:p>
    <w:p>
      <w:pPr>
        <w:spacing w:after="20" w:line="360"/>
        <w:ind w:left="480"/>
      </w:pPr>
      <w:r>
        <w:rPr>
          <w:rFonts w:ascii="Times New Roman" w:cs="Times New Roman" w:eastAsia="思源黑体" w:hAnsi="Times New Roman"/>
          <w:b w:val="false"/>
          <w:bCs w:val="false"/>
          <w:sz w:val="22"/>
          <w:szCs w:val="22"/>
        </w:rPr>
        <w:t xml:space="preserve">　3.4　输出层：AR字幕、手语 avatar 与图形符号</w:t>
      </w:r>
    </w:p>
    <w:p>
      <w:pPr>
        <w:spacing w:after="20" w:line="360"/>
        <w:ind w:left="480"/>
      </w:pPr>
      <w:r>
        <w:rPr>
          <w:rFonts w:ascii="Times New Roman" w:cs="Times New Roman" w:eastAsia="思源黑体" w:hAnsi="Times New Roman"/>
          <w:b w:val="false"/>
          <w:bCs w:val="false"/>
          <w:sz w:val="22"/>
          <w:szCs w:val="22"/>
        </w:rPr>
        <w:t xml:space="preserve">　3.5　控制层：IEP驱动的教师配置与隐私治理</w:t>
      </w:r>
    </w:p>
    <w:p>
      <w:pPr>
        <w:spacing w:after="20" w:line="360"/>
        <w:ind w:left="0"/>
      </w:pPr>
      <w:r>
        <w:rPr>
          <w:rFonts w:ascii="Times New Roman" w:cs="Times New Roman" w:eastAsia="思源黑体" w:hAnsi="Times New Roman"/>
          <w:b/>
          <w:bCs/>
          <w:sz w:val="22"/>
          <w:szCs w:val="22"/>
        </w:rPr>
        <w:t xml:space="preserve">第四章　应用进展：实证证据与需求分析</w:t>
      </w:r>
    </w:p>
    <w:p>
      <w:pPr>
        <w:spacing w:after="20" w:line="360"/>
        <w:ind w:left="480"/>
      </w:pPr>
      <w:r>
        <w:rPr>
          <w:rFonts w:ascii="Times New Roman" w:cs="Times New Roman" w:eastAsia="思源黑体" w:hAnsi="Times New Roman"/>
          <w:b w:val="false"/>
          <w:bCs w:val="false"/>
          <w:sz w:val="22"/>
          <w:szCs w:val="22"/>
        </w:rPr>
        <w:t xml:space="preserve">　4.1　实证文献概览</w:t>
      </w:r>
    </w:p>
    <w:p>
      <w:pPr>
        <w:spacing w:after="20" w:line="360"/>
        <w:ind w:left="480"/>
      </w:pPr>
      <w:r>
        <w:rPr>
          <w:rFonts w:ascii="Times New Roman" w:cs="Times New Roman" w:eastAsia="思源黑体" w:hAnsi="Times New Roman"/>
          <w:b w:val="false"/>
          <w:bCs w:val="false"/>
          <w:sz w:val="22"/>
          <w:szCs w:val="22"/>
        </w:rPr>
        <w:t xml:space="preserve">　4.2　需求一：面向残存听力的个性化声学支持</w:t>
      </w:r>
    </w:p>
    <w:p>
      <w:pPr>
        <w:spacing w:after="20" w:line="360"/>
        <w:ind w:left="480"/>
      </w:pPr>
      <w:r>
        <w:rPr>
          <w:rFonts w:ascii="Times New Roman" w:cs="Times New Roman" w:eastAsia="思源黑体" w:hAnsi="Times New Roman"/>
          <w:b w:val="false"/>
          <w:bCs w:val="false"/>
          <w:sz w:val="22"/>
          <w:szCs w:val="22"/>
        </w:rPr>
        <w:t xml:space="preserve">　4.3　需求二：实时、可定制、低延时的AR字幕</w:t>
      </w:r>
    </w:p>
    <w:p>
      <w:pPr>
        <w:spacing w:after="20" w:line="360"/>
        <w:ind w:left="480"/>
      </w:pPr>
      <w:r>
        <w:rPr>
          <w:rFonts w:ascii="Times New Roman" w:cs="Times New Roman" w:eastAsia="思源黑体" w:hAnsi="Times New Roman"/>
          <w:b w:val="false"/>
          <w:bCs w:val="false"/>
          <w:sz w:val="22"/>
          <w:szCs w:val="22"/>
        </w:rPr>
        <w:t xml:space="preserve">　4.4　需求三：AI生成图形符号降低语义门槛</w:t>
      </w:r>
    </w:p>
    <w:p>
      <w:pPr>
        <w:spacing w:after="20" w:line="360"/>
        <w:ind w:left="480"/>
      </w:pPr>
      <w:r>
        <w:rPr>
          <w:rFonts w:ascii="Times New Roman" w:cs="Times New Roman" w:eastAsia="思源黑体" w:hAnsi="Times New Roman"/>
          <w:b w:val="false"/>
          <w:bCs w:val="false"/>
          <w:sz w:val="22"/>
          <w:szCs w:val="22"/>
        </w:rPr>
        <w:t xml:space="preserve">　4.5　需求四：教师主导的个别化与泛化教学</w:t>
      </w:r>
    </w:p>
    <w:p>
      <w:pPr>
        <w:spacing w:after="20" w:line="360"/>
        <w:ind w:left="0"/>
      </w:pPr>
      <w:r>
        <w:rPr>
          <w:rFonts w:ascii="Times New Roman" w:cs="Times New Roman" w:eastAsia="思源黑体" w:hAnsi="Times New Roman"/>
          <w:b/>
          <w:bCs/>
          <w:sz w:val="22"/>
          <w:szCs w:val="22"/>
        </w:rPr>
        <w:t xml:space="preserve">第五章　伦理、权利与风险治理（独立章节）</w:t>
      </w:r>
    </w:p>
    <w:p>
      <w:pPr>
        <w:spacing w:after="20" w:line="360"/>
        <w:ind w:left="480"/>
      </w:pPr>
      <w:r>
        <w:rPr>
          <w:rFonts w:ascii="Times New Roman" w:cs="Times New Roman" w:eastAsia="思源黑体" w:hAnsi="Times New Roman"/>
          <w:b w:val="false"/>
          <w:bCs w:val="false"/>
          <w:sz w:val="22"/>
          <w:szCs w:val="22"/>
        </w:rPr>
        <w:t xml:space="preserve">　5.1　知情同意与手语/图形知情同意</w:t>
      </w:r>
    </w:p>
    <w:p>
      <w:pPr>
        <w:spacing w:after="20" w:line="360"/>
        <w:ind w:left="480"/>
      </w:pPr>
      <w:r>
        <w:rPr>
          <w:rFonts w:ascii="Times New Roman" w:cs="Times New Roman" w:eastAsia="思源黑体" w:hAnsi="Times New Roman"/>
          <w:b w:val="false"/>
          <w:bCs w:val="false"/>
          <w:sz w:val="22"/>
          <w:szCs w:val="22"/>
        </w:rPr>
        <w:t xml:space="preserve">　5.2　视听与行为数据隐私</w:t>
      </w:r>
    </w:p>
    <w:p>
      <w:pPr>
        <w:spacing w:after="20" w:line="360"/>
        <w:ind w:left="480"/>
      </w:pPr>
      <w:r>
        <w:rPr>
          <w:rFonts w:ascii="Times New Roman" w:cs="Times New Roman" w:eastAsia="思源黑体" w:hAnsi="Times New Roman"/>
          <w:b w:val="false"/>
          <w:bCs w:val="false"/>
          <w:sz w:val="22"/>
          <w:szCs w:val="22"/>
        </w:rPr>
        <w:t xml:space="preserve">　5.3　算法偏差与识别失败风险</w:t>
      </w:r>
    </w:p>
    <w:p>
      <w:pPr>
        <w:spacing w:after="20" w:line="360"/>
        <w:ind w:left="480"/>
      </w:pPr>
      <w:r>
        <w:rPr>
          <w:rFonts w:ascii="Times New Roman" w:cs="Times New Roman" w:eastAsia="思源黑体" w:hAnsi="Times New Roman"/>
          <w:b w:val="false"/>
          <w:bCs w:val="false"/>
          <w:sz w:val="22"/>
          <w:szCs w:val="22"/>
        </w:rPr>
        <w:t xml:space="preserve">　5.4　手语语言权、Deaf身份与技术殖民</w:t>
      </w:r>
    </w:p>
    <w:p>
      <w:pPr>
        <w:spacing w:after="20" w:line="360"/>
        <w:ind w:left="480"/>
      </w:pPr>
      <w:r>
        <w:rPr>
          <w:rFonts w:ascii="Times New Roman" w:cs="Times New Roman" w:eastAsia="思源黑体" w:hAnsi="Times New Roman"/>
          <w:b w:val="false"/>
          <w:bCs w:val="false"/>
          <w:sz w:val="22"/>
          <w:szCs w:val="22"/>
        </w:rPr>
        <w:t xml:space="preserve">　5.5　XR健康风险、可及性与数字鸿沟</w:t>
      </w:r>
    </w:p>
    <w:p>
      <w:pPr>
        <w:spacing w:after="20" w:line="360"/>
        <w:ind w:left="480"/>
      </w:pPr>
      <w:r>
        <w:rPr>
          <w:rFonts w:ascii="Times New Roman" w:cs="Times New Roman" w:eastAsia="思源黑体" w:hAnsi="Times New Roman"/>
          <w:b w:val="false"/>
          <w:bCs w:val="false"/>
          <w:sz w:val="22"/>
          <w:szCs w:val="22"/>
        </w:rPr>
        <w:t xml:space="preserve">　5.6　伦理治理原则与审查清单</w:t>
      </w:r>
    </w:p>
    <w:p>
      <w:pPr>
        <w:spacing w:after="20" w:line="360"/>
        <w:ind w:left="0"/>
      </w:pPr>
      <w:r>
        <w:rPr>
          <w:rFonts w:ascii="Times New Roman" w:cs="Times New Roman" w:eastAsia="思源黑体" w:hAnsi="Times New Roman"/>
          <w:b/>
          <w:bCs/>
          <w:sz w:val="22"/>
          <w:szCs w:val="22"/>
        </w:rPr>
        <w:t xml:space="preserve">第六章　“声学—视觉—符号—人际”协同模型与实施建议</w:t>
      </w:r>
    </w:p>
    <w:p>
      <w:pPr>
        <w:spacing w:after="20" w:line="360"/>
        <w:ind w:left="480"/>
      </w:pPr>
      <w:r>
        <w:rPr>
          <w:rFonts w:ascii="Times New Roman" w:cs="Times New Roman" w:eastAsia="思源黑体" w:hAnsi="Times New Roman"/>
          <w:b w:val="false"/>
          <w:bCs w:val="false"/>
          <w:sz w:val="22"/>
          <w:szCs w:val="22"/>
        </w:rPr>
        <w:t xml:space="preserve">　6.1　四层协同模型</w:t>
      </w:r>
    </w:p>
    <w:p>
      <w:pPr>
        <w:spacing w:after="20" w:line="360"/>
        <w:ind w:left="480"/>
      </w:pPr>
      <w:r>
        <w:rPr>
          <w:rFonts w:ascii="Times New Roman" w:cs="Times New Roman" w:eastAsia="思源黑体" w:hAnsi="Times New Roman"/>
          <w:b w:val="false"/>
          <w:bCs w:val="false"/>
          <w:sz w:val="22"/>
          <w:szCs w:val="22"/>
        </w:rPr>
        <w:t xml:space="preserve">　6.2　标准化实施流程</w:t>
      </w:r>
    </w:p>
    <w:p>
      <w:pPr>
        <w:spacing w:after="20" w:line="360"/>
        <w:ind w:left="480"/>
      </w:pPr>
      <w:r>
        <w:rPr>
          <w:rFonts w:ascii="Times New Roman" w:cs="Times New Roman" w:eastAsia="思源黑体" w:hAnsi="Times New Roman"/>
          <w:b w:val="false"/>
          <w:bCs w:val="false"/>
          <w:sz w:val="22"/>
          <w:szCs w:val="22"/>
        </w:rPr>
        <w:t xml:space="preserve">　6.3　中国本土与马来西亚跨文化场景展望</w:t>
      </w:r>
    </w:p>
    <w:p>
      <w:pPr>
        <w:spacing w:after="20" w:line="360"/>
        <w:ind w:left="0"/>
      </w:pPr>
      <w:r>
        <w:rPr>
          <w:rFonts w:ascii="Times New Roman" w:cs="Times New Roman" w:eastAsia="思源黑体" w:hAnsi="Times New Roman"/>
          <w:b/>
          <w:bCs/>
          <w:sz w:val="22"/>
          <w:szCs w:val="22"/>
        </w:rPr>
        <w:t xml:space="preserve">第七章　研究局限与结论</w:t>
      </w:r>
    </w:p>
    <w:p>
      <w:pPr>
        <w:spacing w:after="20" w:line="360"/>
        <w:ind w:left="480"/>
      </w:pPr>
      <w:r>
        <w:rPr>
          <w:rFonts w:ascii="Times New Roman" w:cs="Times New Roman" w:eastAsia="思源黑体" w:hAnsi="Times New Roman"/>
          <w:b w:val="false"/>
          <w:bCs w:val="false"/>
          <w:sz w:val="22"/>
          <w:szCs w:val="22"/>
        </w:rPr>
        <w:t xml:space="preserve">参考文献</w:t>
      </w:r>
    </w:p>
    <w:p>
      <w:r>
        <w:br w:type="page"/>
      </w:r>
    </w:p>
    <w:p>
      <w:pPr>
        <w:pStyle w:val="Heading1"/>
      </w:pPr>
      <w:r>
        <w:rPr>
          <w:rFonts w:ascii="Times New Roman" w:cs="Times New Roman" w:eastAsia="思源黑体" w:hAnsi="Times New Roman"/>
          <w:b/>
          <w:bCs/>
          <w:sz w:val="30"/>
          <w:szCs w:val="30"/>
        </w:rPr>
        <w:t xml:space="preserve">第一章　绪论</w:t>
      </w:r>
    </w:p>
    <w:p>
      <w:pPr>
        <w:pStyle w:val="Heading2"/>
      </w:pPr>
      <w:r>
        <w:rPr>
          <w:rFonts w:ascii="Times New Roman" w:cs="Times New Roman" w:eastAsia="思源黑体" w:hAnsi="Times New Roman"/>
          <w:b/>
          <w:bCs/>
          <w:sz w:val="26"/>
          <w:szCs w:val="26"/>
        </w:rPr>
        <w:t xml:space="preserve">1.1　研究背景与问题提出</w:t>
      </w:r>
    </w:p>
    <w:p>
      <w:pPr>
        <w:spacing w:after="120" w:line="480"/>
        <w:ind w:firstLine="480"/>
        <w:jc w:val="both"/>
      </w:pPr>
      <w:r>
        <w:rPr>
          <w:rFonts w:ascii="Times New Roman" w:cs="Times New Roman" w:eastAsia="思源黑体" w:hAnsi="Times New Roman"/>
          <w:sz w:val="24"/>
          <w:szCs w:val="24"/>
        </w:rPr>
        <w:t xml:space="preserve">听障并非单一的“听力损失”医学标签，而是同时涉及语言获取、教育安置、沟通方式与社会参与的复杂议题。世界卫生组织估计全球有超过4亿人经历致残性听力损失，其中儿童期的未干预听力损失会显著影响语言、读写与学业发展（World Health Organization, 2021）。在普通课堂与家庭互动中，DHH学习者常依赖视觉代偿——读唇、手语、字幕、图形——而当对话速度快、环境嘈杂、对方不懂手语时，沟通链即告断裂。一个值得追问的起点是：</w:t>
      </w:r>
      <w:r>
        <w:rPr>
          <w:rFonts w:ascii="Times New Roman" w:cs="Times New Roman" w:eastAsia="思源黑体" w:hAnsi="Times New Roman"/>
          <w:b/>
          <w:bCs/>
          <w:sz w:val="24"/>
          <w:szCs w:val="24"/>
        </w:rPr>
        <w:t xml:space="preserve">当信息原本以声音形式发出，技术能否在不改变“谁在说话”的前提下，把声音实时、准确、低负担地转化为DHH学习者可用的视觉与符号信息？</w:t>
      </w:r>
      <w:r>
        <w:rPr>
          <w:rFonts w:ascii="Times New Roman" w:cs="Times New Roman" w:eastAsia="思源黑体" w:hAnsi="Times New Roman"/>
          <w:sz w:val="24"/>
          <w:szCs w:val="24"/>
        </w:rPr>
        <w:t xml:space="preserve"/>
      </w:r>
    </w:p>
    <w:p>
      <w:pPr>
        <w:spacing w:after="120" w:line="480"/>
        <w:ind w:firstLine="480"/>
        <w:jc w:val="both"/>
      </w:pPr>
      <w:r>
        <w:rPr>
          <w:rFonts w:ascii="Times New Roman" w:cs="Times New Roman" w:eastAsia="思源黑体" w:hAnsi="Times New Roman"/>
          <w:sz w:val="24"/>
          <w:szCs w:val="24"/>
        </w:rPr>
        <w:t xml:space="preserve">三类技术的同时成熟使这一问题具备了现实可行性。第一，AI助听与人工耳蜗音频处理可通过深度神经网络实现环境分类、波束成形与个性化增益，为尚有残存听力的学习者保留声学通道（University of Bern, 2021；我国《“人工智能+教育”行动计划》鼓励智能辅具研发，教育部等五部门，2026）。第二，轻量化AR眼镜可将实时转写、翻译与手语avatar叠加于佩戴者视场，实现“边看人、边看字”的自然沟通（Borna et al., 2024）。第三，大语言模型（LLM）与多模态生成模型可在语音识别之后，把语义进一步转译为象形图形、手语动作或简化的图文卡片，</w:t>
      </w:r>
      <w:r>
        <w:rPr>
          <w:rFonts w:ascii="Times New Roman" w:cs="Times New Roman" w:eastAsia="思源黑体" w:hAnsi="Times New Roman"/>
          <w:b/>
          <w:bCs/>
          <w:sz w:val="24"/>
          <w:szCs w:val="24"/>
        </w:rPr>
        <w:t xml:space="preserve">这正是用户设想的核心场景——“你要喝水吗”不仅显示文字，同时呈现一个“喝水”的图形</w:t>
      </w:r>
      <w:r>
        <w:rPr>
          <w:rFonts w:ascii="Times New Roman" w:cs="Times New Roman" w:eastAsia="思源黑体" w:hAnsi="Times New Roman"/>
          <w:sz w:val="24"/>
          <w:szCs w:val="24"/>
        </w:rPr>
        <w:t xml:space="preserve">。三者若被有机整合，有望形成一个覆盖“听见—识别—理解—回应”的闭环。</w:t>
      </w:r>
    </w:p>
    <w:p>
      <w:pPr>
        <w:spacing w:after="120" w:line="480"/>
        <w:ind w:firstLine="480"/>
        <w:jc w:val="both"/>
      </w:pPr>
      <w:r>
        <w:rPr>
          <w:rFonts w:ascii="Times New Roman" w:cs="Times New Roman" w:eastAsia="思源黑体" w:hAnsi="Times New Roman"/>
          <w:sz w:val="24"/>
          <w:szCs w:val="24"/>
        </w:rPr>
        <w:t xml:space="preserve">但技术可行不等于教育有效。现有AR/VR研究高度集中在手语教学与词汇训练，真正以“AI图形符号实时生成＋AR眼镜＋助听设备”为集成对象、并以攻击性/挫败情绪之外的日常沟通效率为结局指标的课堂研究极为有限。更关键的是，任何把“语音转文字”视为唯一答案的方案，都会无意识地边缘化以手语为母语的Deaf群体。因此本研究不预设“治愈”或“替代手语”，而是追问：这套集成系统能否作为一种可选的、增强自主性的沟通脚手架？</w:t>
      </w:r>
    </w:p>
    <w:p>
      <w:pPr>
        <w:pStyle w:val="Heading2"/>
      </w:pPr>
      <w:r>
        <w:rPr>
          <w:rFonts w:ascii="Times New Roman" w:cs="Times New Roman" w:eastAsia="思源黑体" w:hAnsi="Times New Roman"/>
          <w:b/>
          <w:bCs/>
          <w:sz w:val="26"/>
          <w:szCs w:val="26"/>
        </w:rPr>
        <w:t xml:space="preserve">1.2　研究目的与研究问题</w:t>
      </w:r>
    </w:p>
    <w:p>
      <w:pPr>
        <w:spacing w:after="100" w:line="480"/>
        <w:ind w:firstLine="480"/>
        <w:jc w:val="both"/>
      </w:pPr>
      <w:r>
        <w:rPr>
          <w:rFonts w:ascii="Times New Roman" w:cs="Times New Roman" w:eastAsia="思源黑体" w:hAnsi="Times New Roman"/>
          <w:sz w:val="24"/>
          <w:szCs w:val="24"/>
        </w:rPr>
        <w:t xml:space="preserve">本研究目的在于系统梳理AR、AI与助听技术在DHH教育中的应用进展，厘清其技术需求、教育价值与伦理边界，并提出可落地的协同模型。据此提出四个研究问题：</w:t>
      </w:r>
    </w:p>
    <w:p>
      <w:pPr>
        <w:pStyle w:val="ListParagraph"/>
        <w:numPr>
          <w:ilvl w:val="0"/>
          <w:numId w:val="2"/>
        </w:numPr>
        <w:spacing w:after="80" w:line="460"/>
      </w:pPr>
      <w:r>
        <w:rPr>
          <w:rFonts w:ascii="Times New Roman" w:cs="Times New Roman" w:eastAsia="思源黑体" w:hAnsi="Times New Roman"/>
          <w:sz w:val="24"/>
          <w:szCs w:val="24"/>
        </w:rPr>
        <w:t xml:space="preserve">RQ1　面向残存听力的AI助听/耳蜗处理，如何与AR视觉输出协同，形成“声学优先、视觉补偿”的分层支持？</w:t>
      </w:r>
    </w:p>
    <w:p>
      <w:pPr>
        <w:pStyle w:val="ListParagraph"/>
        <w:numPr>
          <w:ilvl w:val="0"/>
          <w:numId w:val="2"/>
        </w:numPr>
        <w:spacing w:after="80" w:line="460"/>
      </w:pPr>
      <w:r>
        <w:rPr>
          <w:rFonts w:ascii="Times New Roman" w:cs="Times New Roman" w:eastAsia="思源黑体" w:hAnsi="Times New Roman"/>
          <w:sz w:val="24"/>
          <w:szCs w:val="24"/>
        </w:rPr>
        <w:t xml:space="preserve">RQ2　AR眼镜的实时语音转写、字幕与手语/图形呈现，在真实课堂中的准确性、延时与可用性达到何种水平？</w:t>
      </w:r>
    </w:p>
    <w:p>
      <w:pPr>
        <w:pStyle w:val="ListParagraph"/>
        <w:numPr>
          <w:ilvl w:val="0"/>
          <w:numId w:val="2"/>
        </w:numPr>
        <w:spacing w:after="80" w:line="460"/>
      </w:pPr>
      <w:r>
        <w:rPr>
          <w:rFonts w:ascii="Times New Roman" w:cs="Times New Roman" w:eastAsia="思源黑体" w:hAnsi="Times New Roman"/>
          <w:sz w:val="24"/>
          <w:szCs w:val="24"/>
        </w:rPr>
        <w:t xml:space="preserve">RQ3　AI将实时内容转化为图形符号（文字＋象形图）的机制，能在多大程度上降低语言与认知门槛？其失效条件是什么？</w:t>
      </w:r>
    </w:p>
    <w:p>
      <w:pPr>
        <w:pStyle w:val="ListParagraph"/>
        <w:numPr>
          <w:ilvl w:val="0"/>
          <w:numId w:val="2"/>
        </w:numPr>
        <w:spacing w:after="80" w:line="460"/>
      </w:pPr>
      <w:r>
        <w:rPr>
          <w:rFonts w:ascii="Times New Roman" w:cs="Times New Roman" w:eastAsia="思源黑体" w:hAnsi="Times New Roman"/>
          <w:sz w:val="24"/>
          <w:szCs w:val="24"/>
        </w:rPr>
        <w:t xml:space="preserve">RQ4　在“教师主导、人本优先”的框架下，如何设计兼顾手语语言权、数据隐私与中国—马来西亚跨文化情境的实施与伦理治理路径？</w:t>
      </w:r>
    </w:p>
    <w:p>
      <w:pPr>
        <w:pStyle w:val="Heading2"/>
      </w:pPr>
      <w:r>
        <w:rPr>
          <w:rFonts w:ascii="Times New Roman" w:cs="Times New Roman" w:eastAsia="思源黑体" w:hAnsi="Times New Roman"/>
          <w:b/>
          <w:bCs/>
          <w:sz w:val="26"/>
          <w:szCs w:val="26"/>
        </w:rPr>
        <w:t xml:space="preserve">1.3　研究方法与文献范围</w:t>
      </w:r>
    </w:p>
    <w:p>
      <w:pPr>
        <w:spacing w:after="120" w:line="480"/>
        <w:ind w:firstLine="480"/>
        <w:jc w:val="both"/>
      </w:pPr>
      <w:r>
        <w:rPr>
          <w:rFonts w:ascii="Times New Roman" w:cs="Times New Roman" w:eastAsia="思源黑体" w:hAnsi="Times New Roman"/>
          <w:sz w:val="24"/>
          <w:szCs w:val="24"/>
        </w:rPr>
        <w:t xml:space="preserve">本文为范围性系统综述（scoping review）与需求分析相结合的研究，不报告新的原始数据。文献检索覆盖2021—2026年的同行评议实证研究、系统综述、学位论文与技术/政策文件，核心来源包括PubMed、Web of Science、Scopus、IEEE、ACM、SpringerLink、开放获取平台，以及中国知网、台湾博硕士论文系统与马来西亚苏丹依德理斯教育大学（UPSI）出版物。检索主题围绕“AR/VR × DHH × 教育”“AI实时字幕/手语识别”“助听器/人工耳蜗 × AI”“多模态图形符号/PECS × 无障碍”展开。纳入标准为：(1) 研究对象含DHH儿童、青少年或成人学习者；(2) 涉及教育、沟通或康复场景；(3) 报告可核查的样本、设计或测量信息。</w:t>
      </w:r>
    </w:p>
    <w:p>
      <w:pPr>
        <w:spacing w:after="120" w:line="480"/>
        <w:ind w:firstLine="480"/>
        <w:jc w:val="both"/>
      </w:pPr>
      <w:r>
        <w:rPr>
          <w:rFonts w:ascii="Times New Roman" w:cs="Times New Roman" w:eastAsia="思源黑体" w:hAnsi="Times New Roman"/>
          <w:sz w:val="24"/>
          <w:szCs w:val="24"/>
        </w:rPr>
        <w:t xml:space="preserve">为保证结论可追溯，本文的正文数值均标注来源：系统综述的结论（如Borna et al., 2024的22项研究、68%聚焦非言语沟通）用于描述证据结构；准实验的效应值（如AR多感官图书 n=60、t(58)=6.305、p&lt;.001）用于说明干预幅度；技术可行性指标（如Tantaroudas et al.的N=10试点、满意度92%）仅作为可行性佐证，不与教育效果混同。这种“证据等级分层”是必要的：</w:t>
      </w:r>
      <w:r>
        <w:rPr>
          <w:rFonts w:ascii="Times New Roman" w:cs="Times New Roman" w:eastAsia="思源黑体" w:hAnsi="Times New Roman"/>
          <w:b/>
          <w:bCs/>
          <w:sz w:val="24"/>
          <w:szCs w:val="24"/>
        </w:rPr>
        <w:t xml:space="preserve">把技术原型可用性直接等同于临床/教育有效性，是现有文献最常见的推论越界。</w:t>
      </w:r>
      <w:r>
        <w:rPr>
          <w:rFonts w:ascii="Times New Roman" w:cs="Times New Roman" w:eastAsia="思源黑体" w:hAnsi="Times New Roman"/>
          <w:sz w:val="24"/>
          <w:szCs w:val="24"/>
        </w:rPr>
        <w:t xml:space="preserve"/>
      </w:r>
    </w:p>
    <w:p>
      <w:pPr>
        <w:pStyle w:val="Heading2"/>
      </w:pPr>
      <w:r>
        <w:rPr>
          <w:rFonts w:ascii="Times New Roman" w:cs="Times New Roman" w:eastAsia="思源黑体" w:hAnsi="Times New Roman"/>
          <w:b/>
          <w:bCs/>
          <w:sz w:val="26"/>
          <w:szCs w:val="26"/>
        </w:rPr>
        <w:t xml:space="preserve">1.4　核心概念界定</w:t>
      </w:r>
    </w:p>
    <w:p>
      <w:pPr>
        <w:spacing w:after="120" w:line="480"/>
        <w:ind w:firstLine="480"/>
        <w:jc w:val="both"/>
      </w:pPr>
      <w:r>
        <w:rPr>
          <w:rFonts w:ascii="Times New Roman" w:cs="Times New Roman" w:eastAsia="思源黑体" w:hAnsi="Times New Roman"/>
          <w:b/>
          <w:bCs/>
          <w:sz w:val="24"/>
          <w:szCs w:val="24"/>
        </w:rPr>
        <w:t xml:space="preserve">听障学习者（DHH）：</w:t>
      </w:r>
      <w:r>
        <w:rPr>
          <w:rFonts w:ascii="Times New Roman" w:cs="Times New Roman" w:eastAsia="思源黑体" w:hAnsi="Times New Roman"/>
          <w:sz w:val="24"/>
          <w:szCs w:val="24"/>
        </w:rPr>
        <w:t xml:space="preserve">涵盖从轻度到极重度听力损失、使用口语、手语或二者兼用的学习者；本文不把“deaf”与“Deaf（手语文化身份）”混为一谈。</w:t>
      </w:r>
    </w:p>
    <w:p>
      <w:pPr>
        <w:spacing w:after="120" w:line="480"/>
        <w:ind w:firstLine="480"/>
        <w:jc w:val="both"/>
      </w:pPr>
      <w:r>
        <w:rPr>
          <w:rFonts w:ascii="Times New Roman" w:cs="Times New Roman" w:eastAsia="思源黑体" w:hAnsi="Times New Roman"/>
          <w:b/>
          <w:bCs/>
          <w:sz w:val="24"/>
          <w:szCs w:val="24"/>
        </w:rPr>
        <w:t xml:space="preserve">残存听力与助听通道：</w:t>
      </w:r>
      <w:r>
        <w:rPr>
          <w:rFonts w:ascii="Times New Roman" w:cs="Times New Roman" w:eastAsia="思源黑体" w:hAnsi="Times New Roman"/>
          <w:sz w:val="24"/>
          <w:szCs w:val="24"/>
        </w:rPr>
        <w:t xml:space="preserve">指通过助听器（HA）或人工耳蜗（CI）可获得的残余听觉信息；AI在此的作用是声源分离、降噪与个性化增益，而非“修复听力”。</w:t>
      </w:r>
    </w:p>
    <w:p>
      <w:pPr>
        <w:spacing w:after="120" w:line="480"/>
        <w:ind w:firstLine="480"/>
        <w:jc w:val="both"/>
      </w:pPr>
      <w:r>
        <w:rPr>
          <w:rFonts w:ascii="Times New Roman" w:cs="Times New Roman" w:eastAsia="思源黑体" w:hAnsi="Times New Roman"/>
          <w:b/>
          <w:bCs/>
          <w:sz w:val="24"/>
          <w:szCs w:val="24"/>
        </w:rPr>
        <w:t xml:space="preserve">AR眼镜：</w:t>
      </w:r>
      <w:r>
        <w:rPr>
          <w:rFonts w:ascii="Times New Roman" w:cs="Times New Roman" w:eastAsia="思源黑体" w:hAnsi="Times New Roman"/>
          <w:sz w:val="24"/>
          <w:szCs w:val="24"/>
        </w:rPr>
        <w:t xml:space="preserve">以透视式（see-through）或手机/平板为显示载体的增强现实设备，在真实场景之上叠加字幕、手语avatar、图形符号与空间提示。</w:t>
      </w:r>
    </w:p>
    <w:p>
      <w:pPr>
        <w:spacing w:after="120" w:line="480"/>
        <w:ind w:firstLine="480"/>
        <w:jc w:val="both"/>
      </w:pPr>
      <w:r>
        <w:rPr>
          <w:rFonts w:ascii="Times New Roman" w:cs="Times New Roman" w:eastAsia="思源黑体" w:hAnsi="Times New Roman"/>
          <w:b/>
          <w:bCs/>
          <w:sz w:val="24"/>
          <w:szCs w:val="24"/>
        </w:rPr>
        <w:t xml:space="preserve">语义图形化（semantic pictograph generation）：</w:t>
      </w:r>
      <w:r>
        <w:rPr>
          <w:rFonts w:ascii="Times New Roman" w:cs="Times New Roman" w:eastAsia="思源黑体" w:hAnsi="Times New Roman"/>
          <w:sz w:val="24"/>
          <w:szCs w:val="24"/>
        </w:rPr>
        <w:t xml:space="preserve">由ASR＋NLP识别说话内容后，通过规则库、图标库或生成模型输出与文字同步的象形图/动画（如“喝水”“你要喝水吗”），以降低词汇与句法门槛，并与手语、书面语形成多模态冗余。</w:t>
      </w:r>
    </w:p>
    <w:p>
      <w:pPr>
        <w:pStyle w:val="Heading1"/>
      </w:pPr>
      <w:r>
        <w:rPr>
          <w:rFonts w:ascii="Times New Roman" w:cs="Times New Roman" w:eastAsia="思源黑体" w:hAnsi="Times New Roman"/>
          <w:b/>
          <w:bCs/>
          <w:sz w:val="30"/>
          <w:szCs w:val="30"/>
        </w:rPr>
        <w:t xml:space="preserve">第二章　理论基础与文献综述</w:t>
      </w:r>
    </w:p>
    <w:p>
      <w:pPr>
        <w:pStyle w:val="Heading2"/>
      </w:pPr>
      <w:r>
        <w:rPr>
          <w:rFonts w:ascii="Times New Roman" w:cs="Times New Roman" w:eastAsia="思源黑体" w:hAnsi="Times New Roman"/>
          <w:b/>
          <w:bCs/>
          <w:sz w:val="26"/>
          <w:szCs w:val="26"/>
        </w:rPr>
        <w:t xml:space="preserve">2.1　听障学习者的沟通与学习需求</w:t>
      </w:r>
    </w:p>
    <w:p>
      <w:pPr>
        <w:spacing w:after="120" w:line="480"/>
        <w:ind w:firstLine="480"/>
        <w:jc w:val="both"/>
      </w:pPr>
      <w:r>
        <w:rPr>
          <w:rFonts w:ascii="Times New Roman" w:cs="Times New Roman" w:eastAsia="思源黑体" w:hAnsi="Times New Roman"/>
          <w:sz w:val="24"/>
          <w:szCs w:val="24"/>
        </w:rPr>
        <w:t xml:space="preserve">DHH学习者的信息获取具有鲜明的多通道代偿特征。在早期语言习得中，听觉输入的缺失若未被手语、视觉语言或助听支持及时补偿，往往造成词汇量滞后、句法复杂度不足与阅读理解困难（Alsharif et al., 2026，其AR多感官图书综述纳入71项研究，2021—2026）。这一现实提示：沟通支持不应只解决“听到声音”，还要解决“理解意义、参与互动”。从特殊教育的功能视角看，沟通行为具有明确的功能（表达需求、社交、获取信息、情感表达）；技术若只呈现字面文字，而未保留意图与情境线索，仍可能让学习者“读懂句子、错过含义”。</w:t>
      </w:r>
    </w:p>
    <w:p>
      <w:pPr>
        <w:spacing w:after="120" w:line="480"/>
        <w:ind w:firstLine="480"/>
        <w:jc w:val="both"/>
      </w:pPr>
      <w:r>
        <w:rPr>
          <w:rFonts w:ascii="Times New Roman" w:cs="Times New Roman" w:eastAsia="思源黑体" w:hAnsi="Times New Roman"/>
          <w:sz w:val="24"/>
          <w:szCs w:val="24"/>
        </w:rPr>
        <w:t xml:space="preserve">这引出一个常被忽略的设计原则：</w:t>
      </w:r>
      <w:r>
        <w:rPr>
          <w:rFonts w:ascii="Times New Roman" w:cs="Times New Roman" w:eastAsia="思源黑体" w:hAnsi="Times New Roman"/>
          <w:b/>
          <w:bCs/>
          <w:sz w:val="24"/>
          <w:szCs w:val="24"/>
        </w:rPr>
        <w:t xml:space="preserve">字幕是必要但不充分的。</w:t>
      </w:r>
      <w:r>
        <w:rPr>
          <w:rFonts w:ascii="Times New Roman" w:cs="Times New Roman" w:eastAsia="思源黑体" w:hAnsi="Times New Roman"/>
          <w:sz w:val="24"/>
          <w:szCs w:val="24"/>
        </w:rPr>
        <w:t xml:space="preserve">口头语言中大量信息依赖语调、重音、停顿与共同注意；纯文本字幕会丢失这些线索。图形符号、手语姿态、表情与空间箭头能把“谁在说、在说什么、情绪如何、接下来做什么”同时编码，更接近DHH学习者的自然视觉认知方式。换言之，用户设想的“文字＋喝水图形”不是花哨的界面装饰，而是对“语义冗余呈现”这一教育需求的回应。</w:t>
      </w:r>
    </w:p>
    <w:p>
      <w:pPr>
        <w:pStyle w:val="Heading2"/>
      </w:pPr>
      <w:r>
        <w:rPr>
          <w:rFonts w:ascii="Times New Roman" w:cs="Times New Roman" w:eastAsia="思源黑体" w:hAnsi="Times New Roman"/>
          <w:b/>
          <w:bCs/>
          <w:sz w:val="26"/>
          <w:szCs w:val="26"/>
        </w:rPr>
        <w:t xml:space="preserve">2.2　AR/VR在听障教育中的应用进展</w:t>
      </w:r>
    </w:p>
    <w:p>
      <w:pPr>
        <w:spacing w:after="120" w:line="480"/>
        <w:ind w:firstLine="480"/>
        <w:jc w:val="both"/>
      </w:pPr>
      <w:r>
        <w:rPr>
          <w:rFonts w:ascii="Times New Roman" w:cs="Times New Roman" w:eastAsia="思源黑体" w:hAnsi="Times New Roman"/>
          <w:sz w:val="24"/>
          <w:szCs w:val="24"/>
        </w:rPr>
        <w:t xml:space="preserve">Borna等人（2024）的系统综述遵循PRISMA流程，在PubMed、Web of Science、EMBASE与IEEE初筛5,981条记录，最终纳入22项研究，其中68%聚焦以手语与视觉线索为主的非言语沟通模态。描述性综合显示，AR/VR在Sign Language教学、认知推理训练与言语知觉方面提供了初步积极证据。这一结构本身值得重视：</w:t>
      </w:r>
      <w:r>
        <w:rPr>
          <w:rFonts w:ascii="Times New Roman" w:cs="Times New Roman" w:eastAsia="思源黑体" w:hAnsi="Times New Roman"/>
          <w:b/>
          <w:bCs/>
          <w:sz w:val="24"/>
          <w:szCs w:val="24"/>
        </w:rPr>
        <w:t xml:space="preserve">研究热点明显偏向“教手语”与“教语言”，而针对真实课堂实时沟通的可及性研究偏少</w:t>
      </w:r>
      <w:r>
        <w:rPr>
          <w:rFonts w:ascii="Times New Roman" w:cs="Times New Roman" w:eastAsia="思源黑体" w:hAnsi="Times New Roman"/>
          <w:sz w:val="24"/>
          <w:szCs w:val="24"/>
        </w:rPr>
        <w:t xml:space="preserve">——这正是本研究的切入点。</w:t>
      </w:r>
    </w:p>
    <w:p>
      <w:pPr>
        <w:spacing w:after="120" w:line="480"/>
        <w:ind w:firstLine="480"/>
        <w:jc w:val="both"/>
      </w:pPr>
      <w:r>
        <w:rPr>
          <w:rFonts w:ascii="Times New Roman" w:cs="Times New Roman" w:eastAsia="思源黑体" w:hAnsi="Times New Roman"/>
          <w:sz w:val="24"/>
          <w:szCs w:val="24"/>
        </w:rPr>
        <w:t xml:space="preserve">在具体干预效果上，Alsharif、Mousavi与Chang（2026）围绕AR多感官图书开展的准实验研究，在真实特教课堂以60名6—8岁听障儿童、四周干预进行前测—后测比较：实验组词汇得分提升7.00分（p&lt;.001），对照组仅提升1.13分（p=.244），组间 t(58)=6.305、p&lt;.001，且七类课程词汇均见改善。该研究的意义不止于效应量：它以课程对齐、多感官整合、教学脚手架与专家迭代验证为设计原则，提示“可复制的课程化AR设计”比孤立的炫技原型更接近教育落地。</w:t>
      </w:r>
    </w:p>
    <w:p>
      <w:pPr>
        <w:spacing w:after="120" w:line="480"/>
        <w:ind w:firstLine="480"/>
        <w:jc w:val="both"/>
      </w:pPr>
      <w:r>
        <w:rPr>
          <w:rFonts w:ascii="Times New Roman" w:cs="Times New Roman" w:eastAsia="思源黑体" w:hAnsi="Times New Roman"/>
          <w:sz w:val="24"/>
          <w:szCs w:val="24"/>
        </w:rPr>
        <w:t xml:space="preserve">较早但常被引用的中国研究也提供了方法学参照。Liu、Yan、Wang与Ng（2013/2014）开发了基于虚拟三维发音人头像的普通话听障儿童言语训练系统，以电磁发音仪（EMA）与图形变换呈现发音器官运动，使用20个有意义普通话词进行试点，两名听障儿童的言语产出出现改善并被儿童接受。尽管样本极小，它证明了一个至今有效的思路：</w:t>
      </w:r>
      <w:r>
        <w:rPr>
          <w:rFonts w:ascii="Times New Roman" w:cs="Times New Roman" w:eastAsia="思源黑体" w:hAnsi="Times New Roman"/>
          <w:b/>
          <w:bCs/>
          <w:sz w:val="24"/>
          <w:szCs w:val="24"/>
        </w:rPr>
        <w:t xml:space="preserve">把不可见的发音过程可视化，比单纯“听—模仿”更适合听觉信息受限的学习者</w:t>
      </w:r>
      <w:r>
        <w:rPr>
          <w:rFonts w:ascii="Times New Roman" w:cs="Times New Roman" w:eastAsia="思源黑体" w:hAnsi="Times New Roman"/>
          <w:sz w:val="24"/>
          <w:szCs w:val="24"/>
        </w:rPr>
        <w:t xml:space="preserve">。这与今日AR眼镜把发音、口型、手势叠加于真实对话者面部的设想一脉相承。</w:t>
      </w:r>
    </w:p>
    <w:p>
      <w:pPr>
        <w:spacing w:after="120" w:line="480"/>
        <w:ind w:firstLine="480"/>
        <w:jc w:val="both"/>
      </w:pPr>
      <w:r>
        <w:rPr>
          <w:rFonts w:ascii="Times New Roman" w:cs="Times New Roman" w:eastAsia="思源黑体" w:hAnsi="Times New Roman"/>
          <w:sz w:val="24"/>
          <w:szCs w:val="24"/>
        </w:rPr>
        <w:t xml:space="preserve">在沉浸式语言学习方面，Tantaroudas等人（2025，Open Research Europe）构建了集成六项AI服务的XR平台：语音转写（Whisper）、多语翻译（NLLB）、语音合成、情感分析、会话摘要，以及基于MediaPipe的国际手语（IS）手势映射到3D avatar。以750段手势视频构建数据集，在Meta Quest 3上开展N=10的伴生试点，报告平均体验评分4.6/5.0、满意度92%、100%用户要求扩展语言与手语支持。这些数据只能说明技术可行性与用户接受度，不能推出“提升语言能力”；但“跨模态＋模块化”的架构设计值得借鉴。</w:t>
      </w:r>
    </w:p>
    <w:p>
      <w:pPr>
        <w:pStyle w:val="Heading2"/>
      </w:pPr>
      <w:r>
        <w:rPr>
          <w:rFonts w:ascii="Times New Roman" w:cs="Times New Roman" w:eastAsia="思源黑体" w:hAnsi="Times New Roman"/>
          <w:b/>
          <w:bCs/>
          <w:sz w:val="26"/>
          <w:szCs w:val="26"/>
        </w:rPr>
        <w:t xml:space="preserve">2.3　AI助听、人工耳蜗与残存听力的协同</w:t>
      </w:r>
    </w:p>
    <w:p>
      <w:pPr>
        <w:spacing w:after="120" w:line="480"/>
        <w:ind w:firstLine="480"/>
        <w:jc w:val="both"/>
      </w:pPr>
      <w:r>
        <w:rPr>
          <w:rFonts w:ascii="Times New Roman" w:cs="Times New Roman" w:eastAsia="思源黑体" w:hAnsi="Times New Roman"/>
          <w:sz w:val="24"/>
          <w:szCs w:val="24"/>
        </w:rPr>
        <w:t xml:space="preserve">对尚有残存听力的学习者，视觉支持不应取代听觉通道，而应与之并行。伯尔尼大学ARTORG中心的研究（University of Bern, 2021）针对“鸡尾酒会问题”训练神经网络：利用65小时音频（78,000余个音频文件）优化波束成形，并引入AI计算的“额头虚拟麦克风”信号，20名受试者在主观与客观测量中，嘈杂场景言语质量显著提升。其核心启示是：</w:t>
      </w:r>
      <w:r>
        <w:rPr>
          <w:rFonts w:ascii="Times New Roman" w:cs="Times New Roman" w:eastAsia="思源黑体" w:hAnsi="Times New Roman"/>
          <w:b/>
          <w:bCs/>
          <w:sz w:val="24"/>
          <w:szCs w:val="24"/>
        </w:rPr>
        <w:t xml:space="preserve">助听设备若能先“听懂环境”，AR眼镜要处理的语音输入才更干净</w:t>
      </w:r>
      <w:r>
        <w:rPr>
          <w:rFonts w:ascii="Times New Roman" w:cs="Times New Roman" w:eastAsia="思源黑体" w:hAnsi="Times New Roman"/>
          <w:sz w:val="24"/>
          <w:szCs w:val="24"/>
        </w:rPr>
        <w:t xml:space="preserve">——声学层是视觉层的前提。</w:t>
      </w:r>
    </w:p>
    <w:p>
      <w:pPr>
        <w:spacing w:after="120" w:line="480"/>
        <w:ind w:firstLine="480"/>
        <w:jc w:val="both"/>
      </w:pPr>
      <w:r>
        <w:rPr>
          <w:rFonts w:ascii="Times New Roman" w:cs="Times New Roman" w:eastAsia="思源黑体" w:hAnsi="Times New Roman"/>
          <w:sz w:val="24"/>
          <w:szCs w:val="24"/>
        </w:rPr>
        <w:t xml:space="preserve">因此在集成架构中，耳机/助听器承担“前端声学处理”：方向性麦克风与多麦克风阵列做声源定位，AI区分语音与噪声，输出经个性化增益后的残余听觉信号；AR眼镜则在“已被净化”的音频之上做识别、转写与图形化。二者通过低延时蓝牙/LE Audio连接，而非各自为战。需强调：此路径仅适用于有残存听力且已完成规范听力康复评估者；对于以手语为母语的Deaf学习者，声学通道是可选增强而非必要条件。</w:t>
      </w:r>
    </w:p>
    <w:p>
      <w:pPr>
        <w:pStyle w:val="Heading2"/>
      </w:pPr>
      <w:r>
        <w:rPr>
          <w:rFonts w:ascii="Times New Roman" w:cs="Times New Roman" w:eastAsia="思源黑体" w:hAnsi="Times New Roman"/>
          <w:b/>
          <w:bCs/>
          <w:sz w:val="26"/>
          <w:szCs w:val="26"/>
        </w:rPr>
        <w:t xml:space="preserve">2.4　AI语义图形与手语/符号多模态呈现</w:t>
      </w:r>
    </w:p>
    <w:p>
      <w:pPr>
        <w:spacing w:after="120" w:line="480"/>
        <w:ind w:firstLine="480"/>
        <w:jc w:val="both"/>
      </w:pPr>
      <w:r>
        <w:rPr>
          <w:rFonts w:ascii="Times New Roman" w:cs="Times New Roman" w:eastAsia="思源黑体" w:hAnsi="Times New Roman"/>
          <w:sz w:val="24"/>
          <w:szCs w:val="24"/>
        </w:rPr>
        <w:t xml:space="preserve">用户所设想的“把‘你要喝水吗’变成文字＋喝水图形”，本质上包含三个环节：自动语音识别（ASR）→自然语言理解（NLU/语义角色标注）→符号渲染。技术可行性已有雏形：AR系统的比较性用户研究显示，AR应用或手语译员条件下的手势词汇成功率显著高于静态图片条件，提升约9%（Fels et al.相关AR手语研究）；另有研究指出，面向阿拉伯语听障儿童的AR识字应用能有效支持词汇解码与阅读理解（Al-Hroub &amp; Oudeh, 2018）。这些证据共同支持：</w:t>
      </w:r>
      <w:r>
        <w:rPr>
          <w:rFonts w:ascii="Times New Roman" w:cs="Times New Roman" w:eastAsia="思源黑体" w:hAnsi="Times New Roman"/>
          <w:b/>
          <w:bCs/>
          <w:sz w:val="24"/>
          <w:szCs w:val="24"/>
        </w:rPr>
        <w:t xml:space="preserve">视觉—文字—手势的对应关系是可习得的，但“生成什么图形、何时生成”必须由教学逻辑而非算法便利决定</w:t>
      </w:r>
      <w:r>
        <w:rPr>
          <w:rFonts w:ascii="Times New Roman" w:cs="Times New Roman" w:eastAsia="思源黑体" w:hAnsi="Times New Roman"/>
          <w:sz w:val="24"/>
          <w:szCs w:val="24"/>
        </w:rPr>
        <w:t xml:space="preserve">。</w:t>
      </w:r>
    </w:p>
    <w:p>
      <w:pPr>
        <w:spacing w:after="120" w:line="480"/>
        <w:ind w:firstLine="480"/>
        <w:jc w:val="both"/>
      </w:pPr>
      <w:r>
        <w:rPr>
          <w:rFonts w:ascii="Times New Roman" w:cs="Times New Roman" w:eastAsia="思源黑体" w:hAnsi="Times New Roman"/>
          <w:sz w:val="24"/>
          <w:szCs w:val="24"/>
        </w:rPr>
        <w:t xml:space="preserve">图形符号的选择涉及关键的教育判断。常用的图形系统（如PECS、Boardmaker风格图标、文化本地象形图）各有词汇覆盖与抽象度局限。AI若采用端到端图像生成，可能出现“看似合理但语义错误”的幻觉图标——这在医疗、安全、课堂指令场景是不可接受的。因此本文主张“</w:t>
      </w:r>
      <w:r>
        <w:rPr>
          <w:rFonts w:ascii="Times New Roman" w:cs="Times New Roman" w:eastAsia="思源黑体" w:hAnsi="Times New Roman"/>
          <w:b/>
          <w:bCs/>
          <w:sz w:val="24"/>
          <w:szCs w:val="24"/>
        </w:rPr>
        <w:t xml:space="preserve">受控图标库＋AI语义消歧</w:t>
      </w:r>
      <w:r>
        <w:rPr>
          <w:rFonts w:ascii="Times New Roman" w:cs="Times New Roman" w:eastAsia="思源黑体" w:hAnsi="Times New Roman"/>
          <w:sz w:val="24"/>
          <w:szCs w:val="24"/>
        </w:rPr>
        <w:t xml:space="preserve">”的混合方案：核心词汇、课堂指令、紧急提示使用经审校的标准化图标；开放性内容才调用生成模型，并在教师端显示置信度与备选解释，由人或手语译员兜底。</w:t>
      </w:r>
    </w:p>
    <w:p>
      <w:pPr>
        <w:pStyle w:val="Heading2"/>
      </w:pPr>
      <w:r>
        <w:rPr>
          <w:rFonts w:ascii="Times New Roman" w:cs="Times New Roman" w:eastAsia="思源黑体" w:hAnsi="Times New Roman"/>
          <w:b/>
          <w:bCs/>
          <w:sz w:val="26"/>
          <w:szCs w:val="26"/>
        </w:rPr>
        <w:t xml:space="preserve">2.5　国内外政策与无障碍标准</w:t>
      </w:r>
    </w:p>
    <w:p>
      <w:pPr>
        <w:spacing w:after="120" w:line="480"/>
        <w:ind w:firstLine="480"/>
        <w:jc w:val="both"/>
      </w:pPr>
      <w:r>
        <w:rPr>
          <w:rFonts w:ascii="Times New Roman" w:cs="Times New Roman" w:eastAsia="思源黑体" w:hAnsi="Times New Roman"/>
          <w:sz w:val="24"/>
          <w:szCs w:val="24"/>
        </w:rPr>
        <w:t xml:space="preserve">政策层面，教育部等五部门印发《“人工智能+教育”行动计划》（教科信〔2026〕1号）鼓励智能辅具与智能学伴研发；教育部等七部门《特殊教育发展提升“十五五”行动计划》（教基〔2026〕9号）明确推进特殊教育数字化、探索人工智能与虚拟现实应用、强化大数据赋能（教育部等七部门，2026）。这些政策为人本、普惠的特殊教育技术提供了法理依据，但同时要求“以学生发展为本”，反对技术崇拜。</w:t>
      </w:r>
    </w:p>
    <w:p>
      <w:pPr>
        <w:spacing w:after="120" w:line="480"/>
        <w:ind w:firstLine="480"/>
        <w:jc w:val="both"/>
      </w:pPr>
      <w:r>
        <w:rPr>
          <w:rFonts w:ascii="Times New Roman" w:cs="Times New Roman" w:eastAsia="思源黑体" w:hAnsi="Times New Roman"/>
          <w:sz w:val="24"/>
          <w:szCs w:val="24"/>
        </w:rPr>
        <w:t xml:space="preserve">权利层面，《残疾人权利公约》（CRPD）第9条要求可及的信息与通信，第21条强调以手语、字幕等形式保障信息平等获取；欧洲聋人联盟（European Union of the Deaf）强调AI与手语技术必须在设计、开发与部署各阶段与聋人及其代表组织协商（Venade, 2023）。技术标准层面，W3C《XR Accessibility User Requirements》（2023）明确提出：XR应支持符号作为默认沟通选项、允许关闭非关键动画、限制会话时长、提供可定制字幕位置与文本回流、避免诱发晕动症。这些规范意味着：</w:t>
      </w:r>
      <w:r>
        <w:rPr>
          <w:rFonts w:ascii="Times New Roman" w:cs="Times New Roman" w:eastAsia="思源黑体" w:hAnsi="Times New Roman"/>
          <w:b/>
          <w:bCs/>
          <w:sz w:val="24"/>
          <w:szCs w:val="24"/>
        </w:rPr>
        <w:t xml:space="preserve">无障碍不是产品做完后的“适配补丁”，而是架构的起始约束</w:t>
      </w:r>
      <w:r>
        <w:rPr>
          <w:rFonts w:ascii="Times New Roman" w:cs="Times New Roman" w:eastAsia="思源黑体" w:hAnsi="Times New Roman"/>
          <w:sz w:val="24"/>
          <w:szCs w:val="24"/>
        </w:rPr>
        <w:t xml:space="preserve">。</w:t>
      </w:r>
    </w:p>
    <w:p>
      <w:pPr>
        <w:pStyle w:val="Heading1"/>
      </w:pPr>
      <w:r>
        <w:rPr>
          <w:rFonts w:ascii="Times New Roman" w:cs="Times New Roman" w:eastAsia="思源黑体" w:hAnsi="Times New Roman"/>
          <w:b/>
          <w:bCs/>
          <w:sz w:val="30"/>
          <w:szCs w:val="30"/>
        </w:rPr>
        <w:t xml:space="preserve">第三章　“眼镜—耳机—AI图形”集成方法与技术架构</w:t>
      </w:r>
    </w:p>
    <w:p>
      <w:pPr>
        <w:pStyle w:val="Heading2"/>
      </w:pPr>
      <w:r>
        <w:rPr>
          <w:rFonts w:ascii="Times New Roman" w:cs="Times New Roman" w:eastAsia="思源黑体" w:hAnsi="Times New Roman"/>
          <w:b/>
          <w:bCs/>
          <w:sz w:val="26"/>
          <w:szCs w:val="26"/>
        </w:rPr>
        <w:t xml:space="preserve">3.1　总体设计理念</w:t>
      </w:r>
    </w:p>
    <w:p>
      <w:pPr>
        <w:spacing w:after="120" w:line="480"/>
        <w:ind w:firstLine="480"/>
        <w:jc w:val="both"/>
      </w:pPr>
      <w:r>
        <w:rPr>
          <w:rFonts w:ascii="Times New Roman" w:cs="Times New Roman" w:eastAsia="思源黑体" w:hAnsi="Times New Roman"/>
          <w:sz w:val="24"/>
          <w:szCs w:val="24"/>
        </w:rPr>
        <w:t xml:space="preserve">整体架构遵循“分层、可逆、可接管”原则，分为输入、处理、输出、控制四层，并在每一层保留人工接管接口。系统不追求“全自动翻译”，而是把机器置于高频、标准化、可校验的环节，把歧义判断、情感支持与危机处置留给教师或手语译员。</w:t>
      </w:r>
    </w:p>
    <w:p>
      <w:pPr>
        <w:spacing w:after="100" w:before="200"/>
        <w:jc w:val="center"/>
      </w:pPr>
      <w:r>
        <w:rPr>
          <w:rFonts w:ascii="Times New Roman" w:cs="Times New Roman" w:eastAsia="思源黑体" w:hAnsi="Times New Roman"/>
          <w:b/>
          <w:bCs/>
          <w:sz w:val="22"/>
          <w:szCs w:val="22"/>
        </w:rPr>
        <w:t xml:space="preserve">表1　“眼镜—耳机—AI图形”集成系统四层架构与职责</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1500"/>
        <w:gridCol w:w="2600"/>
        <w:gridCol w:w="2600"/>
        <w:gridCol w:w="2600"/>
      </w:tblGrid>
      <w:tr>
        <w:trPr>
          <w:tblHeader/>
        </w:trPr>
        <w:tc>
          <w:tcPr>
            <w:tcW w:type="dxa" w:w="1500"/>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层级</w:t>
            </w:r>
          </w:p>
        </w:tc>
        <w:tc>
          <w:tcPr>
            <w:tcW w:type="dxa" w:w="2600"/>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核心组件</w:t>
            </w:r>
          </w:p>
        </w:tc>
        <w:tc>
          <w:tcPr>
            <w:tcW w:type="dxa" w:w="2600"/>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教育职责</w:t>
            </w:r>
          </w:p>
        </w:tc>
        <w:tc>
          <w:tcPr>
            <w:tcW w:type="dxa" w:w="2600"/>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人工接管点</w:t>
            </w:r>
          </w:p>
        </w:tc>
      </w:tr>
      <w:tr>
        <w:tc>
          <w:tcPr>
            <w:tcW w:type="dxa" w:w="15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输入层（声学）</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方向性麦克风阵列、助听器/人工耳蜗、骨传导补声</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采集并净化说话人语音，保留残存听力通道</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听力师校准增益；教师切换环境模式</w:t>
            </w:r>
          </w:p>
        </w:tc>
      </w:tr>
      <w:tr>
        <w:tc>
          <w:tcPr>
            <w:tcW w:type="dxa" w:w="15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处理层（语义）</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ASR、NLU、说话人分离、图标/手语渲染引擎</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识别内容、消歧、生成文字＋图形＋手语</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低置信度时提示“需确认”，转人工</w:t>
            </w:r>
          </w:p>
        </w:tc>
      </w:tr>
      <w:tr>
        <w:tc>
          <w:tcPr>
            <w:tcW w:type="dxa" w:w="15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输出层（视觉）</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AR眼镜字幕、空间箭头、图形符号、手语avatar</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以视觉冗余呈现语义与意图</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可关闭动画、切换手语/文字/图标偏好</w:t>
            </w:r>
          </w:p>
        </w:tc>
      </w:tr>
      <w:tr>
        <w:tc>
          <w:tcPr>
            <w:tcW w:type="dxa" w:w="15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控制层（教学）</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IEP配置、教师控制台、隐私与日志管理</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个别化目标、泛化教学、伦理治理</w:t>
            </w:r>
          </w:p>
        </w:tc>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教师全程可暂停、回看、导出/删除数据</w:t>
            </w:r>
          </w:p>
        </w:tc>
      </w:tr>
    </w:tbl>
    <w:p>
      <w:pPr>
        <w:spacing w:after="200" w:before="80"/>
        <w:jc w:val="both"/>
      </w:pPr>
      <w:r>
        <w:rPr>
          <w:rFonts w:ascii="Times New Roman" w:cs="Times New Roman" w:eastAsia="思源黑体" w:hAnsi="Times New Roman"/>
          <w:i/>
          <w:iCs/>
          <w:sz w:val="20"/>
          <w:szCs w:val="20"/>
        </w:rPr>
        <w:t xml:space="preserve">注：架构强调“机器做标准化呈现，人做理解与判断”；任何一层均可独立关闭，避免单点失效导致系统不可用。</w:t>
      </w:r>
    </w:p>
    <w:p>
      <w:pPr>
        <w:pStyle w:val="Heading2"/>
      </w:pPr>
      <w:r>
        <w:rPr>
          <w:rFonts w:ascii="Times New Roman" w:cs="Times New Roman" w:eastAsia="思源黑体" w:hAnsi="Times New Roman"/>
          <w:b/>
          <w:bCs/>
          <w:sz w:val="26"/>
          <w:szCs w:val="26"/>
        </w:rPr>
        <w:t xml:space="preserve">3.2　输入层：麦克风阵列、声源定位与助听信号处理</w:t>
      </w:r>
    </w:p>
    <w:p>
      <w:pPr>
        <w:spacing w:after="120" w:line="480"/>
        <w:ind w:firstLine="480"/>
        <w:jc w:val="both"/>
      </w:pPr>
      <w:r>
        <w:rPr>
          <w:rFonts w:ascii="Times New Roman" w:cs="Times New Roman" w:eastAsia="思源黑体" w:hAnsi="Times New Roman"/>
          <w:sz w:val="24"/>
          <w:szCs w:val="24"/>
        </w:rPr>
        <w:t xml:space="preserve">输入层面对的真实难题是课堂噪声与多说话人。一个实用的做法是“耳机先做声学增强、眼镜再做识别”：耳机端利用双/多麦克风波束成形锁定正前方说话人，AI区分语音、音乐、敲击与警报声；经助听增益后，一路送入佩戴者残余听觉通道，一路通过低延时链路传给眼镜端ASR。伯尔尼大学的“虚拟额头麦克风”研究表明，AI可在硬件受限下合成更优的方向性信号（University of Bern, 2021），这为眼镜形态的小型化提供了依据。</w:t>
      </w:r>
    </w:p>
    <w:p>
      <w:pPr>
        <w:spacing w:after="120" w:line="480"/>
        <w:ind w:firstLine="480"/>
        <w:jc w:val="both"/>
      </w:pPr>
      <w:r>
        <w:rPr>
          <w:rFonts w:ascii="Times New Roman" w:cs="Times New Roman" w:eastAsia="思源黑体" w:hAnsi="Times New Roman"/>
          <w:sz w:val="24"/>
          <w:szCs w:val="24"/>
        </w:rPr>
        <w:t xml:space="preserve">但必须承认局限：当多个学生同时发言、或教师背对学习者书写时，声源分离会失效。此时系统应诚实显示“无法识别说话人”，而非生成看似完整的错误字幕——</w:t>
      </w:r>
      <w:r>
        <w:rPr>
          <w:rFonts w:ascii="Times New Roman" w:cs="Times New Roman" w:eastAsia="思源黑体" w:hAnsi="Times New Roman"/>
          <w:b/>
          <w:bCs/>
          <w:sz w:val="24"/>
          <w:szCs w:val="24"/>
        </w:rPr>
        <w:t xml:space="preserve">错误字幕比无字幕更危险</w:t>
      </w:r>
      <w:r>
        <w:rPr>
          <w:rFonts w:ascii="Times New Roman" w:cs="Times New Roman" w:eastAsia="思源黑体" w:hAnsi="Times New Roman"/>
          <w:sz w:val="24"/>
          <w:szCs w:val="24"/>
        </w:rPr>
        <w:t xml:space="preserve">，因为它制造了“已经理解”的假象。</w:t>
      </w:r>
    </w:p>
    <w:p>
      <w:pPr>
        <w:pStyle w:val="Heading2"/>
      </w:pPr>
      <w:r>
        <w:rPr>
          <w:rFonts w:ascii="Times New Roman" w:cs="Times New Roman" w:eastAsia="思源黑体" w:hAnsi="Times New Roman"/>
          <w:b/>
          <w:bCs/>
          <w:sz w:val="26"/>
          <w:szCs w:val="26"/>
        </w:rPr>
        <w:t xml:space="preserve">3.3　处理层：ASR、NLP与语义图形生成</w:t>
      </w:r>
    </w:p>
    <w:p>
      <w:pPr>
        <w:spacing w:after="120" w:line="480"/>
        <w:ind w:firstLine="480"/>
        <w:jc w:val="both"/>
      </w:pPr>
      <w:r>
        <w:rPr>
          <w:rFonts w:ascii="Times New Roman" w:cs="Times New Roman" w:eastAsia="思源黑体" w:hAnsi="Times New Roman"/>
          <w:sz w:val="24"/>
          <w:szCs w:val="24"/>
        </w:rPr>
        <w:t xml:space="preserve">处理层是整个系统的认知中枢。ASR需支持多语言与口音，并对儿童语音、快语速、专业术语做领域适配；NLU则负责把“你要喝水吗”解析为意图（询问需求）、实体（水）、动作（喝），再检索受控图标库中对应的“喝水”象形图。对于否定、隐喻、反问等抽象表达，图标渲染会失真，系统应降级为纯文字并标注“请确认”，而不是强行配图。</w:t>
      </w:r>
    </w:p>
    <w:p>
      <w:pPr>
        <w:spacing w:after="120" w:line="480"/>
        <w:ind w:firstLine="480"/>
        <w:jc w:val="both"/>
      </w:pPr>
      <w:r>
        <w:rPr>
          <w:rFonts w:ascii="Times New Roman" w:cs="Times New Roman" w:eastAsia="思源黑体" w:hAnsi="Times New Roman"/>
          <w:sz w:val="24"/>
          <w:szCs w:val="24"/>
        </w:rPr>
        <w:t xml:space="preserve">生成图形的质量取决于语义消歧。以“喝水”为例，同一句话在不同语境下可能是“询问意愿”“下达指令”或“礼貌建议”，图形应配合箭头、问号、说话人标识来区分。这里正体现教师的价值：</w:t>
      </w:r>
      <w:r>
        <w:rPr>
          <w:rFonts w:ascii="Times New Roman" w:cs="Times New Roman" w:eastAsia="思源黑体" w:hAnsi="Times New Roman"/>
          <w:b/>
          <w:bCs/>
          <w:sz w:val="24"/>
          <w:szCs w:val="24"/>
        </w:rPr>
        <w:t xml:space="preserve">AI负责“把句子变成候选图形”，教师负责“把图形放进教学目标”</w:t>
      </w:r>
      <w:r>
        <w:rPr>
          <w:rFonts w:ascii="Times New Roman" w:cs="Times New Roman" w:eastAsia="思源黑体" w:hAnsi="Times New Roman"/>
          <w:sz w:val="24"/>
          <w:szCs w:val="24"/>
        </w:rPr>
        <w:t xml:space="preserve">。建议建立“课堂核心词表＋IEP个别词表”两级图标库，覆盖日常沟通、学科术语与紧急安全指令，并由语言治疗师与聋人社区共同审校。</w:t>
      </w:r>
    </w:p>
    <w:p>
      <w:pPr>
        <w:pStyle w:val="Heading2"/>
      </w:pPr>
      <w:r>
        <w:rPr>
          <w:rFonts w:ascii="Times New Roman" w:cs="Times New Roman" w:eastAsia="思源黑体" w:hAnsi="Times New Roman"/>
          <w:b/>
          <w:bCs/>
          <w:sz w:val="26"/>
          <w:szCs w:val="26"/>
        </w:rPr>
        <w:t xml:space="preserve">3.4　输出层：AR字幕、手语 avatar 与图形符号</w:t>
      </w:r>
    </w:p>
    <w:p>
      <w:pPr>
        <w:spacing w:after="120" w:line="480"/>
        <w:ind w:firstLine="480"/>
        <w:jc w:val="both"/>
      </w:pPr>
      <w:r>
        <w:rPr>
          <w:rFonts w:ascii="Times New Roman" w:cs="Times New Roman" w:eastAsia="思源黑体" w:hAnsi="Times New Roman"/>
          <w:sz w:val="24"/>
          <w:szCs w:val="24"/>
        </w:rPr>
        <w:t xml:space="preserve">输出层要同时满足“可见、可读、不打扰”。W3C的XR可访问性建议提供了具体参数：字幕区域可定制、文本可回流；关键UI元素尽量静止；允许关闭背景动画；设定沉浸式会话时长上限（W3C, 2023）。据此，AR界面宜采用：字幕锚定于说话人头顶或视线下方、字号与对比度可调、图形符号与文字并排、手语avatar置于对话伙伴一侧；紧急信息（火警、危险）以闪烁图标＋震动＋耳机提示做多通道冗余。</w:t>
      </w:r>
    </w:p>
    <w:p>
      <w:pPr>
        <w:spacing w:after="120" w:line="480"/>
        <w:ind w:firstLine="480"/>
        <w:jc w:val="both"/>
      </w:pPr>
      <w:r>
        <w:rPr>
          <w:rFonts w:ascii="Times New Roman" w:cs="Times New Roman" w:eastAsia="思源黑体" w:hAnsi="Times New Roman"/>
          <w:sz w:val="24"/>
          <w:szCs w:val="24"/>
        </w:rPr>
        <w:t xml:space="preserve">一个容易被忽视的设计点是“</w:t>
      </w:r>
      <w:r>
        <w:rPr>
          <w:rFonts w:ascii="Times New Roman" w:cs="Times New Roman" w:eastAsia="思源黑体" w:hAnsi="Times New Roman"/>
          <w:b/>
          <w:bCs/>
          <w:sz w:val="24"/>
          <w:szCs w:val="24"/>
        </w:rPr>
        <w:t xml:space="preserve">注视冲突</w:t>
      </w:r>
      <w:r>
        <w:rPr>
          <w:rFonts w:ascii="Times New Roman" w:cs="Times New Roman" w:eastAsia="思源黑体" w:hAnsi="Times New Roman"/>
          <w:sz w:val="24"/>
          <w:szCs w:val="24"/>
        </w:rPr>
        <w:t xml:space="preserve">”：佩戴者在看字幕时会移开对说话人脸部的注视，可能削弱读唇与自然互动。合理的字幕布局应让文字、手势、面孔处于相近视区，或提供“口语优先/字幕优先”的情境切换。塞浦路斯的两例真实课堂案例（Zaphiris et al.）也提示：可穿戴AR眼镜在外观与社交接受度上曾令青少年不适，而平板端AR反而更受欢迎——</w:t>
      </w:r>
      <w:r>
        <w:rPr>
          <w:rFonts w:ascii="Times New Roman" w:cs="Times New Roman" w:eastAsia="思源黑体" w:hAnsi="Times New Roman"/>
          <w:b/>
          <w:bCs/>
          <w:sz w:val="24"/>
          <w:szCs w:val="24"/>
        </w:rPr>
        <w:t xml:space="preserve">可用性不能由工程师在实验室决定，必须让DHH学习者参与设计</w:t>
      </w:r>
      <w:r>
        <w:rPr>
          <w:rFonts w:ascii="Times New Roman" w:cs="Times New Roman" w:eastAsia="思源黑体" w:hAnsi="Times New Roman"/>
          <w:sz w:val="24"/>
          <w:szCs w:val="24"/>
        </w:rPr>
        <w:t xml:space="preserve">。</w:t>
      </w:r>
    </w:p>
    <w:p>
      <w:pPr>
        <w:pStyle w:val="Heading2"/>
      </w:pPr>
      <w:r>
        <w:rPr>
          <w:rFonts w:ascii="Times New Roman" w:cs="Times New Roman" w:eastAsia="思源黑体" w:hAnsi="Times New Roman"/>
          <w:b/>
          <w:bCs/>
          <w:sz w:val="26"/>
          <w:szCs w:val="26"/>
        </w:rPr>
        <w:t xml:space="preserve">3.5　控制层：IEP驱动的教师配置与隐私治理</w:t>
      </w:r>
    </w:p>
    <w:p>
      <w:pPr>
        <w:spacing w:after="120" w:line="480"/>
        <w:ind w:firstLine="480"/>
        <w:jc w:val="both"/>
      </w:pPr>
      <w:r>
        <w:rPr>
          <w:rFonts w:ascii="Times New Roman" w:cs="Times New Roman" w:eastAsia="思源黑体" w:hAnsi="Times New Roman"/>
          <w:sz w:val="24"/>
          <w:szCs w:val="24"/>
        </w:rPr>
        <w:t xml:space="preserve">控制层是教师“掌舵”的位置：设定沟通目标（如“听懂课堂指令”“发起请求喝水”）、选择输出模态（文字/图标/手语）、安排泛化练习、查看经脱敏的行为日志。任何自动生成的图形都需在教师端显示来源与置信度，教师可一键纠正并沉淀为个人或班级词库。控制层同时也是伦理闸门（详见第五章）：知情同意、录制开关、数据最小化、时长提醒均在此统一配置。</w:t>
      </w:r>
    </w:p>
    <w:p>
      <w:pPr>
        <w:pStyle w:val="Heading1"/>
      </w:pPr>
      <w:r>
        <w:rPr>
          <w:rFonts w:ascii="Times New Roman" w:cs="Times New Roman" w:eastAsia="思源黑体" w:hAnsi="Times New Roman"/>
          <w:b/>
          <w:bCs/>
          <w:sz w:val="30"/>
          <w:szCs w:val="30"/>
        </w:rPr>
        <w:t xml:space="preserve">第四章　应用进展：实证证据与需求分析</w:t>
      </w:r>
    </w:p>
    <w:p>
      <w:pPr>
        <w:pStyle w:val="Heading2"/>
      </w:pPr>
      <w:r>
        <w:rPr>
          <w:rFonts w:ascii="Times New Roman" w:cs="Times New Roman" w:eastAsia="思源黑体" w:hAnsi="Times New Roman"/>
          <w:b/>
          <w:bCs/>
          <w:sz w:val="26"/>
          <w:szCs w:val="26"/>
        </w:rPr>
        <w:t xml:space="preserve">4.1　实证文献概览</w:t>
      </w:r>
    </w:p>
    <w:p>
      <w:pPr>
        <w:spacing w:after="100" w:line="480"/>
        <w:ind w:firstLine="480"/>
        <w:jc w:val="both"/>
      </w:pPr>
      <w:r>
        <w:rPr>
          <w:rFonts w:ascii="Times New Roman" w:cs="Times New Roman" w:eastAsia="思源黑体" w:hAnsi="Times New Roman"/>
          <w:sz w:val="24"/>
          <w:szCs w:val="24"/>
        </w:rPr>
        <w:t xml:space="preserve">下表按证据类型归纳与本研究相关的代表性研究，以说明“进展”与“缺口”并存的现状（均为公开可得文献，具体效应不跨研究直接比较）。</w:t>
      </w:r>
    </w:p>
    <w:p>
      <w:pPr>
        <w:spacing w:after="100" w:before="200"/>
        <w:jc w:val="center"/>
      </w:pPr>
      <w:r>
        <w:rPr>
          <w:rFonts w:ascii="Times New Roman" w:cs="Times New Roman" w:eastAsia="思源黑体" w:hAnsi="Times New Roman"/>
          <w:b/>
          <w:bCs/>
          <w:sz w:val="22"/>
          <w:szCs w:val="22"/>
        </w:rPr>
        <w:t xml:space="preserve">表2　代表性实证与技术研究概览（2021—2026，含经典参照）</w:t>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2400"/>
        <w:gridCol w:w="900"/>
        <w:gridCol w:w="2200"/>
        <w:gridCol w:w="3726"/>
      </w:tblGrid>
      <w:tr>
        <w:trPr>
          <w:tblHeader/>
        </w:trPr>
        <w:tc>
          <w:tcPr>
            <w:tcW w:type="dxa" w:w="2400"/>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研究</w:t>
            </w:r>
          </w:p>
        </w:tc>
        <w:tc>
          <w:tcPr>
            <w:tcW w:type="dxa" w:w="900"/>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样本/范围</w:t>
            </w:r>
          </w:p>
        </w:tc>
        <w:tc>
          <w:tcPr>
            <w:tcW w:type="dxa" w:w="2200"/>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干预或技术</w:t>
            </w:r>
          </w:p>
        </w:tc>
        <w:tc>
          <w:tcPr>
            <w:tcW w:type="dxa" w:w="3726"/>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主要发现与局限</w:t>
            </w:r>
          </w:p>
        </w:tc>
      </w:tr>
      <w:tr>
        <w:tc>
          <w:tcPr>
            <w:tcW w:type="dxa" w:w="24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Borna et al. (2024)，系统综述</w:t>
            </w:r>
          </w:p>
        </w:tc>
        <w:tc>
          <w:tcPr>
            <w:tcW w:type="dxa" w:w="9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22项（5981条初筛）</w:t>
            </w:r>
          </w:p>
        </w:tc>
        <w:tc>
          <w:tcPr>
            <w:tcW w:type="dxa" w:w="22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AR/VR沟通支持</w:t>
            </w:r>
          </w:p>
        </w:tc>
        <w:tc>
          <w:tcPr>
            <w:tcW w:type="dxa" w:w="3726"/>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68%聚焦手语/视觉非言语模态；初步积极证据；需大样本多样样本</w:t>
            </w:r>
          </w:p>
        </w:tc>
      </w:tr>
      <w:tr>
        <w:tc>
          <w:tcPr>
            <w:tcW w:type="dxa" w:w="24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Alsharif, Mousavi &amp; Chang (2026)</w:t>
            </w:r>
          </w:p>
        </w:tc>
        <w:tc>
          <w:tcPr>
            <w:tcW w:type="dxa" w:w="9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60名6—8岁DHH儿童，4周</w:t>
            </w:r>
          </w:p>
        </w:tc>
        <w:tc>
          <w:tcPr>
            <w:tcW w:type="dxa" w:w="22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课程对齐AR多感官图书</w:t>
            </w:r>
          </w:p>
        </w:tc>
        <w:tc>
          <w:tcPr>
            <w:tcW w:type="dxa" w:w="3726"/>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实验组词汇+7.00 (p&lt;.001)，对照+1.13 (p=.244)，t(58)=6.305</w:t>
            </w:r>
          </w:p>
        </w:tc>
      </w:tr>
      <w:tr>
        <w:tc>
          <w:tcPr>
            <w:tcW w:type="dxa" w:w="24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Liu et al. (2013/2014)</w:t>
            </w:r>
          </w:p>
        </w:tc>
        <w:tc>
          <w:tcPr>
            <w:tcW w:type="dxa" w:w="9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2名听障儿童，试点</w:t>
            </w:r>
          </w:p>
        </w:tc>
        <w:tc>
          <w:tcPr>
            <w:tcW w:type="dxa" w:w="22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VR三维发音头像＋EMA</w:t>
            </w:r>
          </w:p>
        </w:tc>
        <w:tc>
          <w:tcPr>
            <w:tcW w:type="dxa" w:w="3726"/>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言语产出改善、儿童接受度高；样本极小</w:t>
            </w:r>
          </w:p>
        </w:tc>
      </w:tr>
      <w:tr>
        <w:tc>
          <w:tcPr>
            <w:tcW w:type="dxa" w:w="24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Tantaroudas et al. (2025)</w:t>
            </w:r>
          </w:p>
        </w:tc>
        <w:tc>
          <w:tcPr>
            <w:tcW w:type="dxa" w:w="9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N=10伴生试点</w:t>
            </w:r>
          </w:p>
        </w:tc>
        <w:tc>
          <w:tcPr>
            <w:tcW w:type="dxa" w:w="22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XR六项AI服务＋手语avatar</w:t>
            </w:r>
          </w:p>
        </w:tc>
        <w:tc>
          <w:tcPr>
            <w:tcW w:type="dxa" w:w="3726"/>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满意度92%、评分4.6/5；可行性而非教育效果证据</w:t>
            </w:r>
          </w:p>
        </w:tc>
      </w:tr>
      <w:tr>
        <w:tc>
          <w:tcPr>
            <w:tcW w:type="dxa" w:w="24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伯尔尼大学AI助听器研究 (2021)</w:t>
            </w:r>
          </w:p>
        </w:tc>
        <w:tc>
          <w:tcPr>
            <w:tcW w:type="dxa" w:w="9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20名受试者</w:t>
            </w:r>
          </w:p>
        </w:tc>
        <w:tc>
          <w:tcPr>
            <w:tcW w:type="dxa" w:w="22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虚拟麦克风＋神经网络波束成形</w:t>
            </w:r>
          </w:p>
        </w:tc>
        <w:tc>
          <w:tcPr>
            <w:tcW w:type="dxa" w:w="3726"/>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鸡尾酒会场景言语质量提升；仍处可行性阶段</w:t>
            </w:r>
          </w:p>
        </w:tc>
      </w:tr>
      <w:tr>
        <w:tc>
          <w:tcPr>
            <w:tcW w:type="dxa" w:w="24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Zaphiris et al.，课堂案例</w:t>
            </w:r>
          </w:p>
        </w:tc>
        <w:tc>
          <w:tcPr>
            <w:tcW w:type="dxa" w:w="9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2个案例（青少年/小学生）</w:t>
            </w:r>
          </w:p>
        </w:tc>
        <w:tc>
          <w:tcPr>
            <w:tcW w:type="dxa" w:w="22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可穿戴AR眼镜 vs. 平板AR</w:t>
            </w:r>
          </w:p>
        </w:tc>
        <w:tc>
          <w:tcPr>
            <w:tcW w:type="dxa" w:w="3726"/>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即时反馈价值获认可；眼镜外观接受度成障碍</w:t>
            </w:r>
          </w:p>
        </w:tc>
      </w:tr>
    </w:tbl>
    <w:p>
      <w:pPr>
        <w:spacing w:after="200" w:before="80"/>
        <w:jc w:val="both"/>
      </w:pPr>
      <w:r>
        <w:rPr>
          <w:rFonts w:ascii="Times New Roman" w:cs="Times New Roman" w:eastAsia="思源黑体" w:hAnsi="Times New Roman"/>
          <w:i/>
          <w:iCs/>
          <w:sz w:val="20"/>
          <w:szCs w:val="20"/>
        </w:rPr>
        <w:t xml:space="preserve">注：系统综述与准实验的证据等级高于技术原型试点；后者的用户接受度指标不可直接解释为学习成效。</w:t>
      </w:r>
    </w:p>
    <w:p>
      <w:pPr>
        <w:pStyle w:val="Heading2"/>
      </w:pPr>
      <w:r>
        <w:rPr>
          <w:rFonts w:ascii="Times New Roman" w:cs="Times New Roman" w:eastAsia="思源黑体" w:hAnsi="Times New Roman"/>
          <w:b/>
          <w:bCs/>
          <w:sz w:val="26"/>
          <w:szCs w:val="26"/>
        </w:rPr>
        <w:t xml:space="preserve">4.3　需求一：面向残存听力的个性化声学支持</w:t>
      </w:r>
    </w:p>
    <w:p>
      <w:pPr>
        <w:spacing w:after="120" w:line="480"/>
        <w:ind w:firstLine="480"/>
        <w:jc w:val="both"/>
      </w:pPr>
      <w:r>
        <w:rPr>
          <w:rFonts w:ascii="Times New Roman" w:cs="Times New Roman" w:eastAsia="思源黑体" w:hAnsi="Times New Roman"/>
          <w:sz w:val="24"/>
          <w:szCs w:val="24"/>
        </w:rPr>
        <w:t xml:space="preserve">第一项需求是把“是否利用残存听力”作为个别化决策的起点。对于助听器或人工耳蜗使用者，AI声学增强是降低后续识别错误率的基础；对于无残余听觉或偏好手语者，则可跳过声学层、直接进入视觉层。IEP应明确记录听力图、设备使用状况、首选沟通方式，避免“人人都戴耳机”的一刀切。</w:t>
      </w:r>
    </w:p>
    <w:p>
      <w:pPr>
        <w:pStyle w:val="Heading2"/>
      </w:pPr>
      <w:r>
        <w:rPr>
          <w:rFonts w:ascii="Times New Roman" w:cs="Times New Roman" w:eastAsia="思源黑体" w:hAnsi="Times New Roman"/>
          <w:b/>
          <w:bCs/>
          <w:sz w:val="26"/>
          <w:szCs w:val="26"/>
        </w:rPr>
        <w:t xml:space="preserve">4.4　需求二：实时、可定制、低延时的AR字幕</w:t>
      </w:r>
    </w:p>
    <w:p>
      <w:pPr>
        <w:spacing w:after="120" w:line="480"/>
        <w:ind w:firstLine="480"/>
        <w:jc w:val="both"/>
      </w:pPr>
      <w:r>
        <w:rPr>
          <w:rFonts w:ascii="Times New Roman" w:cs="Times New Roman" w:eastAsia="思源黑体" w:hAnsi="Times New Roman"/>
          <w:sz w:val="24"/>
          <w:szCs w:val="24"/>
        </w:rPr>
        <w:t xml:space="preserve">第二项需求是字幕的准确性与低延时。真实课堂对ASR的挑战远高于演示场景：多人对话、专业术语、口音、噪声都会抬高词错率（WER）。系统应提供“转写置信度可视化”与“请重复/换种说法”的沟通修复提示，并把字幕与说话人身份、语气（疑问/命令/感叹）共同编码。W3C的XR规范所要求的文本回流、可关闭动画与可定制位置，是保证字幕真正可用的底线（W3C, 2023）。</w:t>
      </w:r>
    </w:p>
    <w:p>
      <w:pPr>
        <w:pStyle w:val="Heading2"/>
      </w:pPr>
      <w:r>
        <w:rPr>
          <w:rFonts w:ascii="Times New Roman" w:cs="Times New Roman" w:eastAsia="思源黑体" w:hAnsi="Times New Roman"/>
          <w:b/>
          <w:bCs/>
          <w:sz w:val="26"/>
          <w:szCs w:val="26"/>
        </w:rPr>
        <w:t xml:space="preserve">4.5　需求三：AI生成图形符号降低语义门槛</w:t>
      </w:r>
    </w:p>
    <w:p>
      <w:pPr>
        <w:spacing w:after="120" w:line="480"/>
        <w:ind w:firstLine="480"/>
        <w:jc w:val="both"/>
      </w:pPr>
      <w:r>
        <w:rPr>
          <w:rFonts w:ascii="Times New Roman" w:cs="Times New Roman" w:eastAsia="思源黑体" w:hAnsi="Times New Roman"/>
          <w:sz w:val="24"/>
          <w:szCs w:val="24"/>
        </w:rPr>
        <w:t xml:space="preserve">第三项需求即用户设想的核心：以图形把抽象语言具象化。其价值在于让词汇有限、句法尚在发展的学习者也能把握核心语义（“喝水”），并可延伸至“喝水—杯子—厨房—请求帮助”的概念网络。但需求不等于无条件采用——图形最适合表达具体动作与高频沟通功能，对抽象、情感与反讽易产生误读。因此应实行“</w:t>
      </w:r>
      <w:r>
        <w:rPr>
          <w:rFonts w:ascii="Times New Roman" w:cs="Times New Roman" w:eastAsia="思源黑体" w:hAnsi="Times New Roman"/>
          <w:b/>
          <w:bCs/>
          <w:sz w:val="24"/>
          <w:szCs w:val="24"/>
        </w:rPr>
        <w:t xml:space="preserve">具体词优先图标、抽象句降级文字、疑义处请求确认</w:t>
      </w:r>
      <w:r>
        <w:rPr>
          <w:rFonts w:ascii="Times New Roman" w:cs="Times New Roman" w:eastAsia="思源黑体" w:hAnsi="Times New Roman"/>
          <w:sz w:val="24"/>
          <w:szCs w:val="24"/>
        </w:rPr>
        <w:t xml:space="preserve">”的三档策略。</w:t>
      </w:r>
    </w:p>
    <w:p>
      <w:pPr>
        <w:spacing w:after="120" w:line="480"/>
        <w:ind w:firstLine="480"/>
        <w:jc w:val="both"/>
      </w:pPr>
      <w:r>
        <w:rPr>
          <w:rFonts w:ascii="Times New Roman" w:cs="Times New Roman" w:eastAsia="思源黑体" w:hAnsi="Times New Roman"/>
          <w:sz w:val="24"/>
          <w:szCs w:val="24"/>
        </w:rPr>
        <w:t xml:space="preserve">进一步看，图形转译的成败取决于“符号系统是否与学习者既有沟通方式兼容”。对以手语为母语的Deaf学习者，图形应与手语动作顺序、 classifier 结构对应，而非简单照搬书面语的线性排列；对使用口语与听力的学习者，图形可充当词汇与句法的视觉支架；对兼有智力或发展性障碍的听障者，则需更大的图标、更少的同屏信息量与更强的实物对应。换言之，</w:t>
      </w:r>
      <w:r>
        <w:rPr>
          <w:rFonts w:ascii="Times New Roman" w:cs="Times New Roman" w:eastAsia="思源黑体" w:hAnsi="Times New Roman"/>
          <w:b/>
          <w:bCs/>
          <w:sz w:val="24"/>
          <w:szCs w:val="24"/>
        </w:rPr>
        <w:t xml:space="preserve">同一套“文字＋图形”界面在不同沟通身份面前并非天然普适</w:t>
      </w:r>
      <w:r>
        <w:rPr>
          <w:rFonts w:ascii="Times New Roman" w:cs="Times New Roman" w:eastAsia="思源黑体" w:hAnsi="Times New Roman"/>
          <w:sz w:val="24"/>
          <w:szCs w:val="24"/>
        </w:rPr>
        <w:t xml:space="preserve">——这正是IEP个别化配置的必要性，也解释了为何统一化的商业App难以直接替代教师评估。</w:t>
      </w:r>
    </w:p>
    <w:p>
      <w:pPr>
        <w:spacing w:after="120" w:line="480"/>
        <w:ind w:firstLine="480"/>
        <w:jc w:val="both"/>
      </w:pPr>
      <w:r>
        <w:rPr>
          <w:rFonts w:ascii="Times New Roman" w:cs="Times New Roman" w:eastAsia="思源黑体" w:hAnsi="Times New Roman"/>
          <w:sz w:val="24"/>
          <w:szCs w:val="24"/>
        </w:rPr>
        <w:t xml:space="preserve">还需追问一个反例：当AI生成了“看似合理”却语义错误的图标时，谁来发现？现有生成模型在开放词汇上仍存在幻觉倾向，而课堂指令（如“把红笔放下”“下课去操场”）的错误图形可能引发安全问题。因此图形渲染必须遵循“受控优先、生成兜底、置信度可见、教师可回滚”的工程原则：核心安全词、课堂高频指令采用经审校的固定图标；开放内容才启用生成模型；置信度低于阈值的输出自动降级为纯文字并提示“请确认”；教师可在控制台一键回滚至上一版正确图标。</w:t>
      </w:r>
      <w:r>
        <w:rPr>
          <w:rFonts w:ascii="Times New Roman" w:cs="Times New Roman" w:eastAsia="思源黑体" w:hAnsi="Times New Roman"/>
          <w:b/>
          <w:bCs/>
          <w:sz w:val="24"/>
          <w:szCs w:val="24"/>
        </w:rPr>
        <w:t xml:space="preserve">在沟通辅助系统中，“宁可少显示、不可错显示”应成为安全底线</w:t>
      </w:r>
      <w:r>
        <w:rPr>
          <w:rFonts w:ascii="Times New Roman" w:cs="Times New Roman" w:eastAsia="思源黑体" w:hAnsi="Times New Roman"/>
          <w:sz w:val="24"/>
          <w:szCs w:val="24"/>
        </w:rPr>
        <w:t xml:space="preserve">。</w:t>
      </w:r>
    </w:p>
    <w:p>
      <w:pPr>
        <w:pStyle w:val="Heading2"/>
      </w:pPr>
      <w:r>
        <w:rPr>
          <w:rFonts w:ascii="Times New Roman" w:cs="Times New Roman" w:eastAsia="思源黑体" w:hAnsi="Times New Roman"/>
          <w:b/>
          <w:bCs/>
          <w:sz w:val="26"/>
          <w:szCs w:val="26"/>
        </w:rPr>
        <w:t xml:space="preserve">4.6　需求四：教师主导的个别化与泛化教学</w:t>
      </w:r>
    </w:p>
    <w:p>
      <w:pPr>
        <w:spacing w:after="120" w:line="480"/>
        <w:ind w:firstLine="480"/>
        <w:jc w:val="both"/>
      </w:pPr>
      <w:r>
        <w:rPr>
          <w:rFonts w:ascii="Times New Roman" w:cs="Times New Roman" w:eastAsia="思源黑体" w:hAnsi="Times New Roman"/>
          <w:sz w:val="24"/>
          <w:szCs w:val="24"/>
        </w:rPr>
        <w:t xml:space="preserve">第四项需求也是最易被技术叙事淹没的一点：泛化。无论AR眼镜在设备端做到多准确，若学习者不能在摘下眼镜后理解同伴的书面语、手语或口语，干预就没有完成社会迁移。Alsharif等人（2026）的研究之所以值得借鉴，正在于其课程对齐与教师参与的设计；系统综述亦提示缺少真人泛化设计时效应会衰减（Borna et al., 2024）。因此教师需在每次人机互动后立即组织真人场景的角色扮演、同伴互动与家庭延伸。</w:t>
      </w:r>
    </w:p>
    <w:p>
      <w:pPr>
        <w:pStyle w:val="Heading2"/>
      </w:pPr>
      <w:r>
        <w:rPr>
          <w:rFonts w:ascii="Times New Roman" w:cs="Times New Roman" w:eastAsia="思源黑体" w:hAnsi="Times New Roman"/>
          <w:b/>
          <w:bCs/>
          <w:sz w:val="26"/>
          <w:szCs w:val="26"/>
        </w:rPr>
        <w:t xml:space="preserve">4.7　以“喝水”为范例的语义图形转译教学设计</w:t>
      </w:r>
    </w:p>
    <w:p>
      <w:pPr>
        <w:spacing w:after="120" w:line="480"/>
        <w:ind w:firstLine="480"/>
        <w:jc w:val="both"/>
      </w:pPr>
      <w:r>
        <w:rPr>
          <w:rFonts w:ascii="Times New Roman" w:cs="Times New Roman" w:eastAsia="思源黑体" w:hAnsi="Times New Roman"/>
          <w:sz w:val="24"/>
          <w:szCs w:val="24"/>
        </w:rPr>
        <w:t xml:space="preserve">为把前述需求落到可操作的课堂单元，本节以用户设想的核心例句“你要喝水吗”为例，完整拆解从语音输入到多模态输出的转译过程，并说明每一步的教学决策。这一范例的价值在于：它把抽象的“AI生成图形”转化为可评估、可纠错的教学序列，而非黑箱式的一次性呈现。</w:t>
      </w:r>
    </w:p>
    <w:p>
      <w:pPr>
        <w:spacing w:after="120" w:line="480"/>
        <w:ind w:firstLine="480"/>
        <w:jc w:val="both"/>
      </w:pPr>
      <w:r>
        <w:rPr>
          <w:rFonts w:ascii="Times New Roman" w:cs="Times New Roman" w:eastAsia="思源黑体" w:hAnsi="Times New Roman"/>
          <w:sz w:val="24"/>
          <w:szCs w:val="24"/>
        </w:rPr>
        <w:t xml:space="preserve">第一步，声学采集。教师（或同伴）说出“你要喝水吗”，耳机端麦克风阵列锁定说话人、抑制教室背景噪声，经AI声源分离后把净化后的语音送入ASR。此时系统应同步把“说话人在说话”这一事实以空间箭头提示给学习者——这是常被纯字幕忽略的共同注意线索。</w:t>
      </w:r>
    </w:p>
    <w:p>
      <w:pPr>
        <w:spacing w:after="120" w:line="480"/>
        <w:ind w:firstLine="480"/>
        <w:jc w:val="both"/>
      </w:pPr>
      <w:r>
        <w:rPr>
          <w:rFonts w:ascii="Times New Roman" w:cs="Times New Roman" w:eastAsia="思源黑体" w:hAnsi="Times New Roman"/>
          <w:sz w:val="24"/>
          <w:szCs w:val="24"/>
        </w:rPr>
        <w:t xml:space="preserve">第二步，识别与消歧。ASR输出文本，NLU把句子解析为：意图＝询问意愿、动作＝喝、对象＝水、语气＝疑问。关键在于消歧：若上下文是课间休息，图形宜呈现“带问号的杯子＋对话气泡”；若是教师下达指令，则改为“指向水杯的手势＋感叹图标”。</w:t>
      </w:r>
      <w:r>
        <w:rPr>
          <w:rFonts w:ascii="Times New Roman" w:cs="Times New Roman" w:eastAsia="思源黑体" w:hAnsi="Times New Roman"/>
          <w:b/>
          <w:bCs/>
          <w:sz w:val="24"/>
          <w:szCs w:val="24"/>
        </w:rPr>
        <w:t xml:space="preserve">同一个句子因语境不同而需不同图形</w:t>
      </w:r>
      <w:r>
        <w:rPr>
          <w:rFonts w:ascii="Times New Roman" w:cs="Times New Roman" w:eastAsia="思源黑体" w:hAnsi="Times New Roman"/>
          <w:sz w:val="24"/>
          <w:szCs w:val="24"/>
        </w:rPr>
        <w:t xml:space="preserve">——这正是通用图标库无法独自解决的问题，必须由教师建立的“情境—图形”映射规则来约束。</w:t>
      </w:r>
    </w:p>
    <w:p>
      <w:pPr>
        <w:spacing w:after="120" w:line="480"/>
        <w:ind w:firstLine="480"/>
        <w:jc w:val="both"/>
      </w:pPr>
      <w:r>
        <w:rPr>
          <w:rFonts w:ascii="Times New Roman" w:cs="Times New Roman" w:eastAsia="思源黑体" w:hAnsi="Times New Roman"/>
          <w:sz w:val="24"/>
          <w:szCs w:val="24"/>
        </w:rPr>
        <w:t xml:space="preserve">第三步，多模态渲染。AR眼镜在同一视区内并排呈现三行信息：文字“你要喝水吗”、象形图“水杯＋问号”、可选的中国手语/马来西亚手语（BIM）动画。三行信息保持时序同步，避免文字已消失而图标滞后造成认知负荷。W3C（2023）关于“符号可作为默认沟通选项”“文本可回流”的建议，正是为了保证这类并行呈现可定制。</w:t>
      </w:r>
    </w:p>
    <w:p>
      <w:pPr>
        <w:spacing w:after="120" w:line="480"/>
        <w:ind w:firstLine="480"/>
        <w:jc w:val="both"/>
      </w:pPr>
      <w:r>
        <w:rPr>
          <w:rFonts w:ascii="Times New Roman" w:cs="Times New Roman" w:eastAsia="思源黑体" w:hAnsi="Times New Roman"/>
          <w:sz w:val="24"/>
          <w:szCs w:val="24"/>
        </w:rPr>
        <w:t xml:space="preserve">第四步，沟通修复与回应。学习者看到图形后，可通过预设图标、单手手势或口语做出选择，系统把回应反馈给教师；若学习者表情困惑或长时间无响应，教师立即介入并以手语或实物示范澄清。这里体现了“</w:t>
      </w:r>
      <w:r>
        <w:rPr>
          <w:rFonts w:ascii="Times New Roman" w:cs="Times New Roman" w:eastAsia="思源黑体" w:hAnsi="Times New Roman"/>
          <w:b/>
          <w:bCs/>
          <w:sz w:val="24"/>
          <w:szCs w:val="24"/>
        </w:rPr>
        <w:t xml:space="preserve">图形是起点而非终点</w:t>
      </w:r>
      <w:r>
        <w:rPr>
          <w:rFonts w:ascii="Times New Roman" w:cs="Times New Roman" w:eastAsia="思源黑体" w:hAnsi="Times New Roman"/>
          <w:sz w:val="24"/>
          <w:szCs w:val="24"/>
        </w:rPr>
        <w:t xml:space="preserve">”：图形帮助学习者快速把握语义，真正的教学目标是对话回合的完成与社交参与。</w:t>
      </w:r>
    </w:p>
    <w:p>
      <w:pPr>
        <w:spacing w:after="120" w:line="480"/>
        <w:ind w:firstLine="480"/>
        <w:jc w:val="both"/>
      </w:pPr>
      <w:r>
        <w:rPr>
          <w:rFonts w:ascii="Times New Roman" w:cs="Times New Roman" w:eastAsia="思源黑体" w:hAnsi="Times New Roman"/>
          <w:sz w:val="24"/>
          <w:szCs w:val="24"/>
        </w:rPr>
        <w:t xml:space="preserve">第五步，泛化评估。教师撤除AR提示，改以真实水杯、同伴对话、书面卡片三种情境测量学习者能否理解并表达“喝水”相关沟通功能。只有当三种情境均达到预设掌握标准（如80%独立正确率），该词/功能才算从“设备辅助”迁移为“可独立参与”。这一阶梯式设计把“新奇效应”与“真正习得”区分开来，也回应了系统综述关于泛化不足的整体警示（Borna et al., 2024）。</w:t>
      </w:r>
    </w:p>
    <w:p>
      <w:pPr>
        <w:pStyle w:val="Heading1"/>
      </w:pPr>
      <w:r>
        <w:rPr>
          <w:rFonts w:ascii="Times New Roman" w:cs="Times New Roman" w:eastAsia="思源黑体" w:hAnsi="Times New Roman"/>
          <w:b/>
          <w:bCs/>
          <w:sz w:val="30"/>
          <w:szCs w:val="30"/>
        </w:rPr>
        <w:t xml:space="preserve">第五章　伦理、权利与风险治理（独立章节）</w:t>
      </w:r>
    </w:p>
    <w:p>
      <w:pPr>
        <w:spacing w:after="100" w:line="480"/>
        <w:ind w:firstLine="480"/>
        <w:jc w:val="both"/>
      </w:pPr>
      <w:r>
        <w:rPr>
          <w:rFonts w:ascii="Times New Roman" w:cs="Times New Roman" w:eastAsia="思源黑体" w:hAnsi="Times New Roman"/>
          <w:sz w:val="24"/>
          <w:szCs w:val="24"/>
        </w:rPr>
        <w:t xml:space="preserve">AI驱动的沟通辅助涉及未成年人、残障群体与聋人语言文化，伦理审查不能流于形式。本章依据CRPD、W3C XR无障碍规范与特殊教育专业伦理，系统讨论六类风险并提出可操作清单。</w:t>
      </w:r>
    </w:p>
    <w:p>
      <w:pPr>
        <w:pStyle w:val="Heading2"/>
      </w:pPr>
      <w:r>
        <w:rPr>
          <w:rFonts w:ascii="Times New Roman" w:cs="Times New Roman" w:eastAsia="思源黑体" w:hAnsi="Times New Roman"/>
          <w:b/>
          <w:bCs/>
          <w:sz w:val="26"/>
          <w:szCs w:val="26"/>
        </w:rPr>
        <w:t xml:space="preserve">5.1　知情同意与手语/图形知情同意</w:t>
      </w:r>
    </w:p>
    <w:p>
      <w:pPr>
        <w:spacing w:after="120" w:line="480"/>
        <w:ind w:firstLine="480"/>
        <w:jc w:val="both"/>
      </w:pPr>
      <w:r>
        <w:rPr>
          <w:rFonts w:ascii="Times New Roman" w:cs="Times New Roman" w:eastAsia="思源黑体" w:hAnsi="Times New Roman"/>
          <w:sz w:val="24"/>
          <w:szCs w:val="24"/>
        </w:rPr>
        <w:t xml:space="preserve">第一，知情同意必须双向可达。书面材料应同时提供口语版、书面版、手语视频版与图形简化版，确保DHH学习者本人（而不仅是监护人）理解“设备会采集什么、何时上传、可随时退出”。对于低龄或兼有智力障碍的学习者，assent（自愿许可）应通过其非语言拒绝信号被尊重——一旦学习者持续抗拒佩戴，即应停止，不得以“治疗效果”为由强迫参与。这与CRPD第4条要求缔约国与聋人及其代表组织协商的精神一致（Venade, 2023）。</w:t>
      </w:r>
    </w:p>
    <w:p>
      <w:pPr>
        <w:pStyle w:val="Heading2"/>
      </w:pPr>
      <w:r>
        <w:rPr>
          <w:rFonts w:ascii="Times New Roman" w:cs="Times New Roman" w:eastAsia="思源黑体" w:hAnsi="Times New Roman"/>
          <w:b/>
          <w:bCs/>
          <w:sz w:val="26"/>
          <w:szCs w:val="26"/>
        </w:rPr>
        <w:t xml:space="preserve">5.2　视听与行为数据隐私</w:t>
      </w:r>
    </w:p>
    <w:p>
      <w:pPr>
        <w:spacing w:after="120" w:line="480"/>
        <w:ind w:firstLine="480"/>
        <w:jc w:val="both"/>
      </w:pPr>
      <w:r>
        <w:rPr>
          <w:rFonts w:ascii="Times New Roman" w:cs="Times New Roman" w:eastAsia="思源黑体" w:hAnsi="Times New Roman"/>
          <w:sz w:val="24"/>
          <w:szCs w:val="24"/>
        </w:rPr>
        <w:t xml:space="preserve">第二，AR眼镜天然涉及麦克风、摄像头、眼动与行为日志，属于敏感信息。应遵循数据最小化原则：仅在必要时录制，原始音视频默认本地存储，转写为文本后即删除；云端上传需单独授权并加密；行为数据（如“误解频发”“情绪波动”）不得用于未经同意的商业训练或不当的学业评价。马来西亚与中国的学校部署均需落实监护人书面授权、可审计的访问日志与干预结束后的数据销毁机制。</w:t>
      </w:r>
    </w:p>
    <w:p>
      <w:pPr>
        <w:pStyle w:val="Heading2"/>
      </w:pPr>
      <w:r>
        <w:rPr>
          <w:rFonts w:ascii="Times New Roman" w:cs="Times New Roman" w:eastAsia="思源黑体" w:hAnsi="Times New Roman"/>
          <w:b/>
          <w:bCs/>
          <w:sz w:val="26"/>
          <w:szCs w:val="26"/>
        </w:rPr>
        <w:t xml:space="preserve">5.3　算法偏差与识别失败风险</w:t>
      </w:r>
    </w:p>
    <w:p>
      <w:pPr>
        <w:spacing w:after="120" w:line="480"/>
        <w:ind w:firstLine="480"/>
        <w:jc w:val="both"/>
      </w:pPr>
      <w:r>
        <w:rPr>
          <w:rFonts w:ascii="Times New Roman" w:cs="Times New Roman" w:eastAsia="思源黑体" w:hAnsi="Times New Roman"/>
          <w:sz w:val="24"/>
          <w:szCs w:val="24"/>
        </w:rPr>
        <w:t xml:space="preserve">第三，ASR与手势识别的偏差具有群体性后果：儿童语音、方言、非标准手语、少数族裔命名常被训练数据低估，导致词错率升高甚至系统性误识别。在课堂中，把错误转写当作真实回答会损害学习者的学业权益。治理上需做到：模型版本与词错率透明披露、低置信度强制提示、关键场景保留人工译员、持续以本地手语与语言样本做再训练。</w:t>
      </w:r>
      <w:r>
        <w:rPr>
          <w:rFonts w:ascii="Times New Roman" w:cs="Times New Roman" w:eastAsia="思源黑体" w:hAnsi="Times New Roman"/>
          <w:b/>
          <w:bCs/>
          <w:sz w:val="24"/>
          <w:szCs w:val="24"/>
        </w:rPr>
        <w:t xml:space="preserve">“看起来在工作”不等于“对这个人有效”</w:t>
      </w:r>
      <w:r>
        <w:rPr>
          <w:rFonts w:ascii="Times New Roman" w:cs="Times New Roman" w:eastAsia="思源黑体" w:hAnsi="Times New Roman"/>
          <w:sz w:val="24"/>
          <w:szCs w:val="24"/>
        </w:rPr>
        <w:t xml:space="preserve">。</w:t>
      </w:r>
    </w:p>
    <w:p>
      <w:pPr>
        <w:pStyle w:val="Heading2"/>
      </w:pPr>
      <w:r>
        <w:rPr>
          <w:rFonts w:ascii="Times New Roman" w:cs="Times New Roman" w:eastAsia="思源黑体" w:hAnsi="Times New Roman"/>
          <w:b/>
          <w:bCs/>
          <w:sz w:val="26"/>
          <w:szCs w:val="26"/>
        </w:rPr>
        <w:t xml:space="preserve">5.4　手语语言权、Deaf身份与技术殖民</w:t>
      </w:r>
    </w:p>
    <w:p>
      <w:pPr>
        <w:spacing w:after="120" w:line="480"/>
        <w:ind w:firstLine="480"/>
        <w:jc w:val="both"/>
      </w:pPr>
      <w:r>
        <w:rPr>
          <w:rFonts w:ascii="Times New Roman" w:cs="Times New Roman" w:eastAsia="思源黑体" w:hAnsi="Times New Roman"/>
          <w:sz w:val="24"/>
          <w:szCs w:val="24"/>
        </w:rPr>
        <w:t xml:space="preserve">第四，也是最易被技术乐观主义遮蔽的风险：把“语音转文字”当作沟通的唯一正确答案，实质是把口语—书面语的线性模式强加于手语文化群体。CRPD与聋人组织强调手语作为语言与文化身份的权利（Venade, 2023；World Federation of the Deaf, 2024）。因此系统必须把“手语优先／双语双语（手语＋书面语）／纯视觉图标”作为用户可选项，绝不能以“教会口语”为名压缩手语空间，更不应让生成式手语avatar在无人工译员保障时冒充专业手语翻译。</w:t>
      </w:r>
    </w:p>
    <w:p>
      <w:pPr>
        <w:pStyle w:val="Heading2"/>
      </w:pPr>
      <w:r>
        <w:rPr>
          <w:rFonts w:ascii="Times New Roman" w:cs="Times New Roman" w:eastAsia="思源黑体" w:hAnsi="Times New Roman"/>
          <w:b/>
          <w:bCs/>
          <w:sz w:val="26"/>
          <w:szCs w:val="26"/>
        </w:rPr>
        <w:t xml:space="preserve">5.5　XR健康风险、可及性与数字鸿沟</w:t>
      </w:r>
    </w:p>
    <w:p>
      <w:pPr>
        <w:spacing w:after="120" w:line="480"/>
        <w:ind w:firstLine="480"/>
        <w:jc w:val="both"/>
      </w:pPr>
      <w:r>
        <w:rPr>
          <w:rFonts w:ascii="Times New Roman" w:cs="Times New Roman" w:eastAsia="思源黑体" w:hAnsi="Times New Roman"/>
          <w:sz w:val="24"/>
          <w:szCs w:val="24"/>
        </w:rPr>
        <w:t xml:space="preserve">第五，XR自身存在使用风险。长时间佩戴可能引发视疲劳、眩晕（cybersickness）与社交孤立；W3C明确要求XR避免诱发晕动、限制会话时长、支持重置视角（W3C, 2023）。同时，设备价格、网络条件、师资培训与家长数字素养构成新的不平等：</w:t>
      </w:r>
      <w:r>
        <w:rPr>
          <w:rFonts w:ascii="Times New Roman" w:cs="Times New Roman" w:eastAsia="思源黑体" w:hAnsi="Times New Roman"/>
          <w:b/>
          <w:bCs/>
          <w:sz w:val="24"/>
          <w:szCs w:val="24"/>
        </w:rPr>
        <w:t xml:space="preserve">若技术只进入资源充足的学校，反而会扩大而非缩小教育差距</w:t>
      </w:r>
      <w:r>
        <w:rPr>
          <w:rFonts w:ascii="Times New Roman" w:cs="Times New Roman" w:eastAsia="思源黑体" w:hAnsi="Times New Roman"/>
          <w:sz w:val="24"/>
          <w:szCs w:val="24"/>
        </w:rPr>
        <w:t xml:space="preserve">。政策应把设备补贴、维修、师资培训与开放可及内容纳入配套，而非只采购硬件。</w:t>
      </w:r>
    </w:p>
    <w:p>
      <w:pPr>
        <w:pStyle w:val="Heading2"/>
      </w:pPr>
      <w:r>
        <w:rPr>
          <w:rFonts w:ascii="Times New Roman" w:cs="Times New Roman" w:eastAsia="思源黑体" w:hAnsi="Times New Roman"/>
          <w:b/>
          <w:bCs/>
          <w:sz w:val="26"/>
          <w:szCs w:val="26"/>
        </w:rPr>
        <w:t xml:space="preserve">5.6　伦理治理原则与审查清单</w:t>
      </w:r>
    </w:p>
    <w:p>
      <w:pPr>
        <w:spacing w:after="100" w:line="480"/>
        <w:ind w:firstLine="480"/>
        <w:jc w:val="both"/>
      </w:pPr>
      <w:r>
        <w:rPr>
          <w:rFonts w:ascii="Times New Roman" w:cs="Times New Roman" w:eastAsia="思源黑体" w:hAnsi="Times New Roman"/>
          <w:sz w:val="24"/>
          <w:szCs w:val="24"/>
        </w:rPr>
        <w:t xml:space="preserve">综合上述讨论，本文提出六条原则并对应课堂审查清单。</w:t>
      </w:r>
    </w:p>
    <w:p>
      <w:pPr>
        <w:spacing w:after="100" w:before="200"/>
        <w:jc w:val="center"/>
      </w:pPr>
      <w:r>
        <w:rPr>
          <w:rFonts w:ascii="Times New Roman" w:cs="Times New Roman" w:eastAsia="思源黑体" w:hAnsi="Times New Roman"/>
          <w:b/>
          <w:bCs/>
          <w:sz w:val="22"/>
          <w:szCs w:val="22"/>
        </w:rPr>
        <w:t xml:space="preserve">表3　AI-AR沟通辅助的伦理治理原则与课堂审查清单</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600"/>
        <w:gridCol w:w="3300"/>
        <w:gridCol w:w="3500"/>
      </w:tblGrid>
      <w:tr>
        <w:trPr>
          <w:tblHeader/>
        </w:trPr>
        <w:tc>
          <w:tcPr>
            <w:tcW w:type="dxa" w:w="2600"/>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治理原则</w:t>
            </w:r>
          </w:p>
        </w:tc>
        <w:tc>
          <w:tcPr>
            <w:tcW w:type="dxa" w:w="3300"/>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核心要求</w:t>
            </w:r>
          </w:p>
        </w:tc>
        <w:tc>
          <w:tcPr>
            <w:tcW w:type="dxa" w:w="3500"/>
            <w:tcBorders>
              <w:top w:val="single" w:color="808080" w:sz="4"/>
              <w:left w:val="single" w:color="808080" w:sz="4"/>
              <w:bottom w:val="single" w:color="808080" w:sz="4"/>
              <w:right w:val="single" w:color="808080" w:sz="4"/>
            </w:tcBorders>
            <w:shd w:fill="D5E8F0" w:val="clear"/>
            <w:tcMar>
              <w:top w:type="dxa" w:w="60"/>
              <w:left w:type="dxa" w:w="100"/>
              <w:bottom w:type="dxa" w:w="60"/>
              <w:right w:type="dxa" w:w="100"/>
            </w:tcMar>
          </w:tcPr>
          <w:p>
            <w:pPr>
              <w:spacing w:line="300"/>
              <w:jc w:val="center"/>
            </w:pPr>
            <w:r>
              <w:rPr>
                <w:rFonts w:ascii="Times New Roman" w:cs="Times New Roman" w:eastAsia="思源黑体" w:hAnsi="Times New Roman"/>
                <w:b/>
                <w:bCs/>
                <w:sz w:val="20"/>
                <w:szCs w:val="20"/>
              </w:rPr>
              <w:t xml:space="preserve">课堂可执行检查项</w:t>
            </w:r>
          </w:p>
        </w:tc>
      </w:tr>
      <w:tr>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儿童利益最大化</w:t>
            </w:r>
          </w:p>
        </w:tc>
        <w:tc>
          <w:tcPr>
            <w:tcW w:type="dxa" w:w="33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技术服务于学习者福祉与发展权</w:t>
            </w:r>
          </w:p>
        </w:tc>
        <w:tc>
          <w:tcPr>
            <w:tcW w:type="dxa" w:w="35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是否提供手语/图形版知情同意；是否允许随时退出</w:t>
            </w:r>
          </w:p>
        </w:tc>
      </w:tr>
      <w:tr>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聋人参与式设计</w:t>
            </w:r>
          </w:p>
        </w:tc>
        <w:tc>
          <w:tcPr>
            <w:tcW w:type="dxa" w:w="33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与DHH学习者及聋人组织共同设计</w:t>
            </w:r>
          </w:p>
        </w:tc>
        <w:tc>
          <w:tcPr>
            <w:tcW w:type="dxa" w:w="35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图标库、手语avatar是否经社区审校；有无用户测试</w:t>
            </w:r>
          </w:p>
        </w:tc>
      </w:tr>
      <w:tr>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数据最小化与透明</w:t>
            </w:r>
          </w:p>
        </w:tc>
        <w:tc>
          <w:tcPr>
            <w:tcW w:type="dxa" w:w="33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仅采必需数据，可审计、可删除</w:t>
            </w:r>
          </w:p>
        </w:tc>
        <w:tc>
          <w:tcPr>
            <w:tcW w:type="dxa" w:w="35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默认本地存储；上传是否单独授权；是否定期销毁</w:t>
            </w:r>
          </w:p>
        </w:tc>
      </w:tr>
      <w:tr>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算法可解释与可接管</w:t>
            </w:r>
          </w:p>
        </w:tc>
        <w:tc>
          <w:tcPr>
            <w:tcW w:type="dxa" w:w="33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披露准确率，低置信度转人工</w:t>
            </w:r>
          </w:p>
        </w:tc>
        <w:tc>
          <w:tcPr>
            <w:tcW w:type="dxa" w:w="35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是否显示置信度；关键场景是否有手语译员/教师兜底</w:t>
            </w:r>
          </w:p>
        </w:tc>
      </w:tr>
      <w:tr>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语言与文化中立</w:t>
            </w:r>
          </w:p>
        </w:tc>
        <w:tc>
          <w:tcPr>
            <w:tcW w:type="dxa" w:w="33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手语、口语、图标可切换，互不替代</w:t>
            </w:r>
          </w:p>
        </w:tc>
        <w:tc>
          <w:tcPr>
            <w:tcW w:type="dxa" w:w="35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是否强制“语音转写唯一”；是否保留手语优先选项</w:t>
            </w:r>
          </w:p>
        </w:tc>
      </w:tr>
      <w:tr>
        <w:tc>
          <w:tcPr>
            <w:tcW w:type="dxa" w:w="26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健康与公平可及</w:t>
            </w:r>
          </w:p>
        </w:tc>
        <w:tc>
          <w:tcPr>
            <w:tcW w:type="dxa" w:w="33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防眩晕、限时、缩小数字鸿沟</w:t>
            </w:r>
          </w:p>
        </w:tc>
        <w:tc>
          <w:tcPr>
            <w:tcW w:type="dxa" w:w="3500"/>
            <w:tcBorders>
              <w:top w:val="single" w:color="808080" w:sz="4"/>
              <w:left w:val="single" w:color="808080" w:sz="4"/>
              <w:bottom w:val="single" w:color="808080" w:sz="4"/>
              <w:right w:val="single" w:color="808080" w:sz="4"/>
            </w:tcBorders>
            <w:tcMar>
              <w:top w:type="dxa" w:w="60"/>
              <w:left w:type="dxa" w:w="100"/>
              <w:bottom w:type="dxa" w:w="60"/>
              <w:right w:type="dxa" w:w="100"/>
            </w:tcMar>
          </w:tcPr>
          <w:p>
            <w:pPr>
              <w:spacing w:line="300"/>
              <w:jc w:val="left"/>
            </w:pPr>
            <w:r>
              <w:rPr>
                <w:rFonts w:ascii="Times New Roman" w:cs="Times New Roman" w:eastAsia="思源黑体" w:hAnsi="Times New Roman"/>
                <w:sz w:val="20"/>
                <w:szCs w:val="20"/>
              </w:rPr>
              <w:t xml:space="preserve">是否设佩戴时长上限；设备/师资是否普惠覆盖</w:t>
            </w:r>
          </w:p>
        </w:tc>
      </w:tr>
    </w:tbl>
    <w:p>
      <w:pPr>
        <w:pStyle w:val="Heading1"/>
      </w:pPr>
      <w:r>
        <w:rPr>
          <w:rFonts w:ascii="Times New Roman" w:cs="Times New Roman" w:eastAsia="思源黑体" w:hAnsi="Times New Roman"/>
          <w:b/>
          <w:bCs/>
          <w:sz w:val="30"/>
          <w:szCs w:val="30"/>
        </w:rPr>
        <w:t xml:space="preserve">第六章　“声学—视觉—符号—人际”协同模型与实施建议</w:t>
      </w:r>
    </w:p>
    <w:p>
      <w:pPr>
        <w:pStyle w:val="Heading2"/>
      </w:pPr>
      <w:r>
        <w:rPr>
          <w:rFonts w:ascii="Times New Roman" w:cs="Times New Roman" w:eastAsia="思源黑体" w:hAnsi="Times New Roman"/>
          <w:b/>
          <w:bCs/>
          <w:sz w:val="26"/>
          <w:szCs w:val="26"/>
        </w:rPr>
        <w:t xml:space="preserve">6.1　四层协同模型</w:t>
      </w:r>
    </w:p>
    <w:p>
      <w:pPr>
        <w:spacing w:after="120" w:line="480"/>
        <w:ind w:firstLine="480"/>
        <w:jc w:val="both"/>
      </w:pPr>
      <w:r>
        <w:rPr>
          <w:rFonts w:ascii="Times New Roman" w:cs="Times New Roman" w:eastAsia="思源黑体" w:hAnsi="Times New Roman"/>
          <w:sz w:val="24"/>
          <w:szCs w:val="24"/>
        </w:rPr>
        <w:t xml:space="preserve">基于前述分析，本文提出“</w:t>
      </w:r>
      <w:r>
        <w:rPr>
          <w:rFonts w:ascii="Times New Roman" w:cs="Times New Roman" w:eastAsia="思源黑体" w:hAnsi="Times New Roman"/>
          <w:b/>
          <w:bCs/>
          <w:sz w:val="24"/>
          <w:szCs w:val="24"/>
        </w:rPr>
        <w:t xml:space="preserve">声学—视觉—符号—人际</w:t>
      </w:r>
      <w:r>
        <w:rPr>
          <w:rFonts w:ascii="Times New Roman" w:cs="Times New Roman" w:eastAsia="思源黑体" w:hAnsi="Times New Roman"/>
          <w:sz w:val="24"/>
          <w:szCs w:val="24"/>
        </w:rPr>
        <w:t xml:space="preserve">”四层协同模型。声学层服务于残存听力，做个性化听觉增强；视觉层由AR眼镜呈现实时字幕、说话人线索与空间提示；符号层由AI把语义转为图形与手语，降低理解与表达门槛；人际层由教师、手语译员、同伴与家庭承担情感、泛化与文化归属。四层由内向外，越外层越不可替代：</w:t>
      </w:r>
      <w:r>
        <w:rPr>
          <w:rFonts w:ascii="Times New Roman" w:cs="Times New Roman" w:eastAsia="思源黑体" w:hAnsi="Times New Roman"/>
          <w:b/>
          <w:bCs/>
          <w:sz w:val="24"/>
          <w:szCs w:val="24"/>
        </w:rPr>
        <w:t xml:space="preserve">技术可以优化前三层的“信息通道”，但关系的建立只能发生在人际层</w:t>
      </w:r>
      <w:r>
        <w:rPr>
          <w:rFonts w:ascii="Times New Roman" w:cs="Times New Roman" w:eastAsia="思源黑体" w:hAnsi="Times New Roman"/>
          <w:sz w:val="24"/>
          <w:szCs w:val="24"/>
        </w:rPr>
        <w:t xml:space="preserve">。</w:t>
      </w:r>
    </w:p>
    <w:p>
      <w:pPr>
        <w:spacing w:after="120" w:line="480"/>
        <w:ind w:firstLine="480"/>
        <w:jc w:val="both"/>
      </w:pPr>
      <w:r>
        <w:rPr>
          <w:rFonts w:ascii="Times New Roman" w:cs="Times New Roman" w:eastAsia="思源黑体" w:hAnsi="Times New Roman"/>
          <w:sz w:val="24"/>
          <w:szCs w:val="24"/>
        </w:rPr>
        <w:t xml:space="preserve">这一模型有意区别于“AI替代特教”的叙事。Alsharif等人（2026）的AR-SB研究通过课程对齐、专家验证与准实验证明了结构化设计的价值；Borna等人（2024）的系统综述则提醒我们整体证据仍初步。因此模型的定位是“脚手架”：当学习者能借助字幕与图标参与互动后，教师应逐步撤除提示、引导其转向手语、书面语或口语的真实沟通，而非让其长期依赖设备。</w:t>
      </w:r>
    </w:p>
    <w:p>
      <w:pPr>
        <w:pStyle w:val="Heading2"/>
      </w:pPr>
      <w:r>
        <w:rPr>
          <w:rFonts w:ascii="Times New Roman" w:cs="Times New Roman" w:eastAsia="思源黑体" w:hAnsi="Times New Roman"/>
          <w:b/>
          <w:bCs/>
          <w:sz w:val="26"/>
          <w:szCs w:val="26"/>
        </w:rPr>
        <w:t xml:space="preserve">6.2　标准化实施流程</w:t>
      </w:r>
    </w:p>
    <w:p>
      <w:pPr>
        <w:spacing w:after="100" w:line="480"/>
        <w:ind w:firstLine="480"/>
        <w:jc w:val="both"/>
      </w:pPr>
      <w:r>
        <w:rPr>
          <w:rFonts w:ascii="Times New Roman" w:cs="Times New Roman" w:eastAsia="思源黑体" w:hAnsi="Times New Roman"/>
          <w:sz w:val="24"/>
          <w:szCs w:val="24"/>
        </w:rPr>
        <w:t xml:space="preserve">结合IEP与前述伦理原则，提出适用于资源教室与随班就读场景的七步流程。</w:t>
      </w:r>
    </w:p>
    <w:p>
      <w:pPr>
        <w:pStyle w:val="ListParagraph"/>
        <w:numPr>
          <w:ilvl w:val="0"/>
          <w:numId w:val="3"/>
        </w:numPr>
        <w:spacing w:after="80" w:line="460"/>
      </w:pPr>
      <w:r>
        <w:rPr>
          <w:rFonts w:ascii="Times New Roman" w:cs="Times New Roman" w:eastAsia="思源黑体" w:hAnsi="Times New Roman"/>
          <w:sz w:val="24"/>
          <w:szCs w:val="24"/>
        </w:rPr>
        <w:t xml:space="preserve">1. 听力与沟通评估：由听力师、语言治疗师与教师共同评估残存听力、助听设备使用情况及手语/口语偏好，明确是否启用声学层。</w:t>
      </w:r>
    </w:p>
    <w:p>
      <w:pPr>
        <w:pStyle w:val="ListParagraph"/>
        <w:numPr>
          <w:ilvl w:val="0"/>
          <w:numId w:val="3"/>
        </w:numPr>
        <w:spacing w:after="80" w:line="460"/>
      </w:pPr>
      <w:r>
        <w:rPr>
          <w:rFonts w:ascii="Times New Roman" w:cs="Times New Roman" w:eastAsia="思源黑体" w:hAnsi="Times New Roman"/>
          <w:sz w:val="24"/>
          <w:szCs w:val="24"/>
        </w:rPr>
        <w:t xml:space="preserve">2. 知情与assent：以手语、图形、书面与口语多版本说明数据用途，尊重学习者本人的拒绝信号。</w:t>
      </w:r>
    </w:p>
    <w:p>
      <w:pPr>
        <w:pStyle w:val="ListParagraph"/>
        <w:numPr>
          <w:ilvl w:val="0"/>
          <w:numId w:val="3"/>
        </w:numPr>
        <w:spacing w:after="80" w:line="460"/>
      </w:pPr>
      <w:r>
        <w:rPr>
          <w:rFonts w:ascii="Times New Roman" w:cs="Times New Roman" w:eastAsia="思源黑体" w:hAnsi="Times New Roman"/>
          <w:sz w:val="24"/>
          <w:szCs w:val="24"/>
        </w:rPr>
        <w:t xml:space="preserve">3. 设定IEP目标：选择沟通功能（如请求、回应、理解课堂指令）与核心词表，而非泛化“提高听力”。</w:t>
      </w:r>
    </w:p>
    <w:p>
      <w:pPr>
        <w:pStyle w:val="ListParagraph"/>
        <w:numPr>
          <w:ilvl w:val="0"/>
          <w:numId w:val="3"/>
        </w:numPr>
        <w:spacing w:after="80" w:line="460"/>
      </w:pPr>
      <w:r>
        <w:rPr>
          <w:rFonts w:ascii="Times New Roman" w:cs="Times New Roman" w:eastAsia="思源黑体" w:hAnsi="Times New Roman"/>
          <w:sz w:val="24"/>
          <w:szCs w:val="24"/>
        </w:rPr>
        <w:t xml:space="preserve">4. 配置分层输出：由学习者与教师共同选择“文字/图标/手语”模态组合、字幕位置与提示强度。</w:t>
      </w:r>
    </w:p>
    <w:p>
      <w:pPr>
        <w:pStyle w:val="ListParagraph"/>
        <w:numPr>
          <w:ilvl w:val="0"/>
          <w:numId w:val="3"/>
        </w:numPr>
        <w:spacing w:after="80" w:line="460"/>
      </w:pPr>
      <w:r>
        <w:rPr>
          <w:rFonts w:ascii="Times New Roman" w:cs="Times New Roman" w:eastAsia="思源黑体" w:hAnsi="Times New Roman"/>
          <w:sz w:val="24"/>
          <w:szCs w:val="24"/>
        </w:rPr>
        <w:t xml:space="preserve">5. 教师在场的人机互动：每次干预后由教师组织真人角色扮演与同伴互动，促成泛化。</w:t>
      </w:r>
    </w:p>
    <w:p>
      <w:pPr>
        <w:pStyle w:val="ListParagraph"/>
        <w:numPr>
          <w:ilvl w:val="0"/>
          <w:numId w:val="3"/>
        </w:numPr>
        <w:spacing w:after="80" w:line="460"/>
      </w:pPr>
      <w:r>
        <w:rPr>
          <w:rFonts w:ascii="Times New Roman" w:cs="Times New Roman" w:eastAsia="思源黑体" w:hAnsi="Times New Roman"/>
          <w:sz w:val="24"/>
          <w:szCs w:val="24"/>
        </w:rPr>
        <w:t xml:space="preserve">6. 脱敏日志＋动态调整：仅记录教学所需指标（误解类型、目标词掌握度），定期复盘并调整词库与图标。</w:t>
      </w:r>
    </w:p>
    <w:p>
      <w:pPr>
        <w:pStyle w:val="ListParagraph"/>
        <w:numPr>
          <w:ilvl w:val="0"/>
          <w:numId w:val="3"/>
        </w:numPr>
        <w:spacing w:after="80" w:line="460"/>
      </w:pPr>
      <w:r>
        <w:rPr>
          <w:rFonts w:ascii="Times New Roman" w:cs="Times New Roman" w:eastAsia="思源黑体" w:hAnsi="Times New Roman"/>
          <w:sz w:val="24"/>
          <w:szCs w:val="24"/>
        </w:rPr>
        <w:t xml:space="preserve">7. 危机与安全处置：出现严重沟通冲突、情绪危机或设备故障，立即切换至手语译员/教师支持，终止AI流程。</w:t>
      </w:r>
    </w:p>
    <w:p>
      <w:pPr>
        <w:pStyle w:val="Heading2"/>
      </w:pPr>
      <w:r>
        <w:rPr>
          <w:rFonts w:ascii="Times New Roman" w:cs="Times New Roman" w:eastAsia="思源黑体" w:hAnsi="Times New Roman"/>
          <w:b/>
          <w:bCs/>
          <w:sz w:val="26"/>
          <w:szCs w:val="26"/>
        </w:rPr>
        <w:t xml:space="preserve">6.3　中国本土与马来西亚跨文化场景展望</w:t>
      </w:r>
    </w:p>
    <w:p>
      <w:pPr>
        <w:spacing w:after="120" w:line="480"/>
        <w:ind w:firstLine="480"/>
        <w:jc w:val="both"/>
      </w:pPr>
      <w:r>
        <w:rPr>
          <w:rFonts w:ascii="Times New Roman" w:cs="Times New Roman" w:eastAsia="思源黑体" w:hAnsi="Times New Roman"/>
          <w:sz w:val="24"/>
          <w:szCs w:val="24"/>
        </w:rPr>
        <w:t xml:space="preserve">中国场景的优势在于政策驱动与普通话言语康复技术积累（如Liu et al.的普通话VR发音系统），但需补强手语（中国手语）与文化适配的图标库，并警惕“康复导向”挤压手语空间。马来西亚场景具有马来语、华语、淡米尔语与马来西亚手语（Bahasa Isyarat Malaysia, BIM）并存的多语多文化特征，UPSI的AR-DHH词汇研究（Alsharif et al., 2026）正是本地化的积极信号。跨境推广时，</w:t>
      </w:r>
      <w:r>
        <w:rPr>
          <w:rFonts w:ascii="Times New Roman" w:cs="Times New Roman" w:eastAsia="思源黑体" w:hAnsi="Times New Roman"/>
          <w:b/>
          <w:bCs/>
          <w:sz w:val="24"/>
          <w:szCs w:val="24"/>
        </w:rPr>
        <w:t xml:space="preserve">“同一架构、本地词库、聋人共创”</w:t>
      </w:r>
      <w:r>
        <w:rPr>
          <w:rFonts w:ascii="Times New Roman" w:cs="Times New Roman" w:eastAsia="思源黑体" w:hAnsi="Times New Roman"/>
          <w:sz w:val="24"/>
          <w:szCs w:val="24"/>
        </w:rPr>
        <w:t xml:space="preserve">应成为基本原则：核心四层架构可复用，但语言、图标、手语与文化规范必须本地重做，不可直接翻译了事。</w:t>
      </w:r>
    </w:p>
    <w:p>
      <w:pPr>
        <w:pStyle w:val="Heading1"/>
      </w:pPr>
      <w:r>
        <w:rPr>
          <w:rFonts w:ascii="Times New Roman" w:cs="Times New Roman" w:eastAsia="思源黑体" w:hAnsi="Times New Roman"/>
          <w:b/>
          <w:bCs/>
          <w:sz w:val="30"/>
          <w:szCs w:val="30"/>
        </w:rPr>
        <w:t xml:space="preserve">第七章　研究局限与结论</w:t>
      </w:r>
    </w:p>
    <w:p>
      <w:pPr>
        <w:spacing w:after="120" w:line="480"/>
        <w:ind w:firstLine="480"/>
        <w:jc w:val="both"/>
      </w:pPr>
      <w:r>
        <w:rPr>
          <w:rFonts w:ascii="Times New Roman" w:cs="Times New Roman" w:eastAsia="思源黑体" w:hAnsi="Times New Roman"/>
          <w:sz w:val="24"/>
          <w:szCs w:val="24"/>
        </w:rPr>
        <w:t xml:space="preserve">本研究属文献综合与需求分析，不包含原始干预数据；尽管已分层援引系统综述、准实验与技术可行性研究，但针对“AR眼镜＋AI助听＋语义图形”三位一体的专项大样本课堂RCT仍近乎空白，部分技术参数（如端到端延时、多语言WER）需在未来实证中统一报告标准。</w:t>
      </w:r>
    </w:p>
    <w:p>
      <w:pPr>
        <w:spacing w:after="120" w:line="480"/>
        <w:ind w:firstLine="480"/>
        <w:jc w:val="both"/>
      </w:pPr>
      <w:r>
        <w:rPr>
          <w:rFonts w:ascii="Times New Roman" w:cs="Times New Roman" w:eastAsia="思源黑体" w:hAnsi="Times New Roman"/>
          <w:sz w:val="24"/>
          <w:szCs w:val="24"/>
        </w:rPr>
        <w:t xml:space="preserve">结论如下。第一，AR、AI助听与语义图形化各具教育价值，但只有被整合为“声学—视觉—符号—人际”的分层协同系统，才能避免把复杂沟通简化为“语音转文字”。第二，实证证据总体积极却仍初步：AR多感官图书的准实验（t(58)=6.305, p&lt;.001）与系统综述（Borna et al., 2024）支持可行性，但不足以支撑无条件规模化。第三，AI生成图形（文字＋象形图）在具体沟通功能上具有降低门槛的潜力，但受控图标库、置信度披露与教师/译员兜底缺一不可。第四，伦理上必须坚守聋人参与、手语语言权、数据最小化与健康公平，把设备定位为“教师主导、人本优先”的沟通脚手架。</w:t>
      </w:r>
    </w:p>
    <w:p>
      <w:pPr>
        <w:spacing w:after="120" w:line="480"/>
        <w:ind w:firstLine="480"/>
        <w:jc w:val="both"/>
      </w:pPr>
      <w:r>
        <w:rPr>
          <w:rFonts w:ascii="Times New Roman" w:cs="Times New Roman" w:eastAsia="思源黑体" w:hAnsi="Times New Roman"/>
          <w:sz w:val="24"/>
          <w:szCs w:val="24"/>
        </w:rPr>
        <w:t xml:space="preserve">最终，本研究试图回答的并不是“能否用一副眼镜取代一切”，而是</w:t>
      </w:r>
      <w:r>
        <w:rPr>
          <w:rFonts w:ascii="Times New Roman" w:cs="Times New Roman" w:eastAsia="思源黑体" w:hAnsi="Times New Roman"/>
          <w:b/>
          <w:bCs/>
          <w:sz w:val="24"/>
          <w:szCs w:val="24"/>
        </w:rPr>
        <w:t xml:space="preserve">“如何让残存听力、文字、手语、图形与人彼此配合，使DHH学习者重新掌握沟通的主动权”</w:t>
      </w:r>
      <w:r>
        <w:rPr>
          <w:rFonts w:ascii="Times New Roman" w:cs="Times New Roman" w:eastAsia="思源黑体" w:hAnsi="Times New Roman"/>
          <w:sz w:val="24"/>
          <w:szCs w:val="24"/>
        </w:rPr>
        <w:t xml:space="preserve">。只有当技术服务于这一目的、并在伦理边界内被审慎使用，AR与AI才真正构成特殊教育的赋能力量。</w:t>
      </w:r>
    </w:p>
    <w:p>
      <w:r>
        <w:br w:type="page"/>
      </w:r>
    </w:p>
    <w:p>
      <w:pPr>
        <w:pStyle w:val="Heading1"/>
      </w:pPr>
      <w:r>
        <w:rPr>
          <w:rFonts w:ascii="Times New Roman" w:cs="Times New Roman" w:eastAsia="思源黑体" w:hAnsi="Times New Roman"/>
          <w:b/>
          <w:bCs/>
          <w:sz w:val="30"/>
          <w:szCs w:val="30"/>
        </w:rPr>
        <w:t xml:space="preserve">参考文献</w:t>
      </w:r>
    </w:p>
    <w:p>
      <w:pPr>
        <w:spacing w:after="160" w:line="480"/>
        <w:ind w:firstLine="0"/>
        <w:jc w:val="both"/>
      </w:pPr>
      <w:r>
        <w:rPr>
          <w:rFonts w:ascii="Times New Roman" w:cs="Times New Roman" w:eastAsia="思源黑体" w:hAnsi="Times New Roman"/>
          <w:sz w:val="24"/>
          <w:szCs w:val="24"/>
        </w:rPr>
        <w:t xml:space="preserve">(英文文献按第一作者字母序排列，悬挂缩进；中文与政策文献按作者/发布机构排列于后；期刊名与卷号采用斜体，DOI/URL以可核查形式给出。)</w: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40" w:line="360"/>
        <w:ind w:left="480" w:hanging="480"/>
        <w:jc w:val="both"/>
      </w:pPr>
      <w:r>
        <w:rPr>
          <w:rFonts w:ascii="Times New Roman" w:cs="Times New Roman" w:eastAsia="思源黑体" w:hAnsi="Times New Roman"/>
          <w:i/>
          <w:iCs/>
          <w:sz w:val="22"/>
          <w:szCs w:val="22"/>
        </w:rPr>
        <w:t xml:space="default"/>
      </w:r>
    </w:p>
    <w:p>
      <w:pPr>
        <w:spacing w:after="80" w:before="160"/>
        <w:ind w:firstLine="0"/>
      </w:pPr>
      <w:r>
        <w:rPr>
          <w:rFonts w:ascii="Times New Roman" w:cs="Times New Roman" w:eastAsia="思源黑体" w:hAnsi="Times New Roman"/>
          <w:b/>
          <w:bCs/>
          <w:sz w:val="22"/>
          <w:szCs w:val="22"/>
        </w:rPr>
        <w:t xml:space="preserve">【中文与政策文献】</w:t>
      </w:r>
    </w:p>
    <w:p>
      <w:pPr>
        <w:spacing w:after="40" w:line="360"/>
        <w:ind w:left="480" w:hanging="480"/>
        <w:jc w:val="both"/>
      </w:pPr>
      <w:r>
        <w:rPr>
          <w:rFonts w:ascii="Times New Roman" w:cs="Times New Roman" w:eastAsia="思源黑体" w:hAnsi="Times New Roman"/>
          <w:sz w:val="22"/>
          <w:szCs w:val="22"/>
        </w:rPr>
        <w:t xml:space="preserve">教育部等五部门. (2026). “人工智能+教育”行动计划 (教科信〔2026〕1号). 中华人民共和国教育部.</w:t>
      </w:r>
    </w:p>
    <w:p>
      <w:pPr>
        <w:spacing w:after="40" w:line="360"/>
        <w:ind w:left="480" w:hanging="480"/>
        <w:jc w:val="both"/>
      </w:pPr>
      <w:r>
        <w:rPr>
          <w:rFonts w:ascii="Times New Roman" w:cs="Times New Roman" w:eastAsia="思源黑体" w:hAnsi="Times New Roman"/>
          <w:sz w:val="22"/>
          <w:szCs w:val="22"/>
        </w:rPr>
        <w:t xml:space="preserve">教育部等七部门. (2026). 特殊教育发展提升“十五五”行动计划 (教基〔2026〕9号). 中华人民共和国教育部. https://www.gov.cn/lianbo/202608/content_7079634.htm</w:t>
      </w:r>
    </w:p>
    <w:p>
      <w:pPr>
        <w:spacing w:after="40" w:line="360"/>
        <w:ind w:left="480" w:hanging="480"/>
        <w:jc w:val="both"/>
      </w:pPr>
      <w:r>
        <w:rPr>
          <w:rFonts w:ascii="Times New Roman" w:cs="Times New Roman" w:eastAsia="思源黑体" w:hAnsi="Times New Roman"/>
          <w:sz w:val="22"/>
          <w:szCs w:val="22"/>
        </w:rPr>
        <w:t xml:space="preserve">联合国大会. (2006). 残疾人权利公约 (Convention on the Rights of Persons with Disabilities). 第9、21条. https://www.un.org/development/desa/disabilities/convention-on-the-rights-of-persons-with-disabilities/article-9-accessibility.html</w:t>
      </w:r>
    </w:p>
    <w:p>
      <w:pPr>
        <w:spacing w:after="40" w:line="360"/>
        <w:ind w:left="480" w:hanging="480"/>
        <w:jc w:val="both"/>
      </w:pPr>
      <w:r>
        <w:rPr>
          <w:rFonts w:ascii="Times New Roman" w:cs="Times New Roman" w:eastAsia="思源黑体" w:hAnsi="Times New Roman"/>
          <w:sz w:val="22"/>
          <w:szCs w:val="22"/>
        </w:rPr>
        <w:t xml:space="preserve">刘晓千, 燕楠, 王岚, 吴民华. (2014). 一种应用虚拟发音头像的普通话聋儿言语康复系统. 中国科学院深圳先进技术研究院.</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思源黑体" w:hAnsi="Times New Roman"/>
        <w:sz w:val="20"/>
        <w:szCs w:val="20"/>
      </w:rPr>
      <w:t xml:space="preserve">第 </w:t>
    </w:r>
    <w:r>
      <w:rPr>
        <w:rFonts w:ascii="Times New Roman" w:cs="Times New Roman" w:eastAsia="思源黑体" w:hAnsi="Times New Roman"/>
        <w:sz w:val="20"/>
        <w:szCs w:val="20"/>
      </w:rPr>
      <w:fldChar w:fldCharType="begin"/>
      <w:instrText xml:space="preserve">PAGE</w:instrText>
      <w:fldChar w:fldCharType="separate"/>
      <w:fldChar w:fldCharType="end"/>
    </w:r>
    <w:r>
      <w:rPr>
        <w:rFonts w:ascii="Times New Roman" w:cs="Times New Roman" w:eastAsia="思源黑体" w:hAnsi="Times New Roman"/>
        <w:sz w:val="20"/>
        <w:szCs w:val="20"/>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808080" w:sz="6" w:space="1"/>
      </w:pBdr>
      <w:jc w:val="center"/>
    </w:pPr>
    <w:r>
      <w:rPr>
        <w:rFonts w:ascii="Times New Roman" w:cs="Times New Roman" w:eastAsia="思源黑体" w:hAnsi="Times New Roman"/>
        <w:i/>
        <w:iCs/>
        <w:sz w:val="18"/>
        <w:szCs w:val="18"/>
      </w:rPr>
      <w:t xml:space="preserve">AR、助听设备与AI在听障特殊教育中的应用研究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RQ%1"/>
      <w:lvlJc w:val="left"/>
      <w:pPr>
        <w:ind w:left="640" w:hanging="460"/>
      </w:pPr>
    </w:lvl>
  </w:abstractNum>
  <w:abstractNum w:abstractNumId="3" w15:restartNumberingAfterBreak="0">
    <w:multiLevelType w:val="hybridMultilevel"/>
    <w:lvl w:ilvl="0" w15:tentative="1">
      <w:start w:val="1"/>
      <w:numFmt w:val="decimal"/>
      <w:lvlText w:val="%1."/>
      <w:lvlJc w:val="left"/>
      <w:pPr>
        <w:ind w:left="640" w:hanging="4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思源黑体" w:hAnsi="Times New Roman"/>
        <w:sz w:val="24"/>
        <w:szCs w:val="24"/>
      </w:rPr>
    </w:rPrDefault>
    <w:pPrDefault>
      <w:pPr>
        <w:spacing w:line="48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Times New Roman" w:cs="Times New Roman" w:eastAsia="思源黑体" w:hAnsi="Times New Roman"/>
      <w:b/>
      <w:bCs/>
      <w:sz w:val="30"/>
      <w:szCs w:val="30"/>
    </w:rPr>
  </w:style>
  <w:style w:type="paragraph" w:styleId="Heading2">
    <w:name w:val="Heading 2"/>
    <w:basedOn w:val="Normal"/>
    <w:next w:val="Normal"/>
    <w:qFormat/>
    <w:pPr>
      <w:spacing w:after="140" w:before="220"/>
      <w:outlineLvl w:val="1"/>
    </w:pPr>
    <w:rPr>
      <w:rFonts w:ascii="Times New Roman" w:cs="Times New Roman" w:eastAsia="思源黑体" w:hAnsi="Times New Roman"/>
      <w:b/>
      <w:bCs/>
      <w:sz w:val="26"/>
      <w:szCs w:val="26"/>
    </w:rPr>
  </w:style>
  <w:style w:type="paragraph" w:styleId="Heading3">
    <w:name w:val="Heading 3"/>
    <w:basedOn w:val="Normal"/>
    <w:next w:val="Normal"/>
    <w:qFormat/>
    <w:pPr>
      <w:spacing w:after="120" w:before="180"/>
      <w:outlineLvl w:val="2"/>
    </w:pPr>
    <w:rPr>
      <w:rFonts w:ascii="Times New Roman" w:cs="Times New Roman" w:eastAsia="思源黑体" w:hAnsi="Times New Roman"/>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2026-09-03T02:01:25.828Z</dcterms:created>
  <dcterms:modified xsi:type="dcterms:W3CDTF">2026-09-03T02:01:25.829Z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{"Label":"1","ContentProducer":"001191440300708461136T1WFUO","ProduceID":"c43eba5b47ad49a6005a5e82b0760af9-zbzF","ReservedCode1":"{\"Type\":\" TC260PG\",\"Version\":1,\"Bindings\":[{\"Type\":\"soft\",\"AlgID\":\"sm3\",\"Value\":\"6e84c24106e13d03631a4a920e9c2e7c0f28075dfcc52694a4ad892d28c7d104\"},{\"Type\":\"hash\",\"AlgID\":\"sm3\",\"Value\":\"16c412af740ce2f21c1494663c96953717e0f8d1fe3d583f05649edf304bc5eb\"}],\"PubSD\":[{\"Type\":\"DS\",\"AlgID\":\"sm2\",\"TBSData\":{\"Type\":\"Binding\",\"BType\":\"hash\"},\"Signature\":\"3045022100a23f97263cd7555e23287c5f0b0fe413f762141a97f57db77c750e4b4ca8848c02200310f4be7f7613677e886d305e7cd57d973b9f08c4c5f1b587b5d8a19dfe67cb\"},{\"Type\":\"PubKey\",\"AlgID\":\"sm2\",\"KeyValue\":\"0407f79b28a17a752b3aae4305c98b48978213832729a2571850b1310b2bc9fe8fee039ccf25ebfeac27502414d9fcef792d777183c98893d226171c2f7a3289a2\"}],\"Extension\":{\"Timestamp\":1788400915,\"KeyVersion\":\"v1-TxLeOmf7bqU223\"}}","ContentPropagator":"001191440300708461136T1WFUO","PropagateID":"c43eba5b47ad49a6005a5e82b0760af9-zbzF","ReservedCode2":"{\"Type\":\" TC260PG\",\"Version\":1,\"Bindings\":[{\"Type\":\"soft\",\"AlgID\":\"sm3\",\"Value\":\"6e84c24106e13d03631a4a920e9c2e7c0f28075dfcc52694a4ad892d28c7d104\"},{\"Type\":\"hash\",\"AlgID\":\"sm3\",\"Value\":\"16c412af740ce2f21c1494663c96953717e0f8d1fe3d583f05649edf304bc5eb\"}],\"PubSD\":[{\"Type\":\"DS\",\"AlgID\":\"sm2\",\"TBSData\":{\"Type\":\"Binding\",\"BType\":\"hash\"},\"Signature\":\"3045022100a903094bb1df1b406717d23a33ff70e9a4179b9ab88ae7ea3a76e8e0b0a3f0d5022057a0629c1533d6805f174ef065d87ff0302ba47f7535a19d6b297502487090ff\"},{\"Type\":\"PubKey\",\"AlgID\":\"sm2\",\"KeyValue\":\"0407f79b28a17a752b3aae4305c98b48978213832729a2571850b1310b2bc9fe8fee039ccf25ebfeac27502414d9fcef792d777183c98893d226171c2f7a3289a2\"}],\"Extension\":{\"Timestamp\":1788400915,\"KeyVersion\":\"v1-TxLeOmf7bqU223\"}}"}</vt:lpwstr>
  </property>
</Properties>
</file>