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40"/>
        <w:jc w:val="center"/>
      </w:pPr>
      <w:r>
        <w:rPr>
          <w:rFonts w:ascii="Times New Roman" w:cs="Times New Roman" w:eastAsia="WenQuanYi Micro Hei" w:hAnsi="Times New Roman"/>
          <w:sz w:val="22"/>
          <w:szCs w:val="22"/>
        </w:rPr>
        <w:t xml:space="preserve">Running head: 人形机器人与孤独症儿童攻击行为干预</w:t>
      </w:r>
    </w:p>
    <w:p>
      <w:pPr>
        <w:spacing w:after="240" w:before="480"/>
        <w:jc w:val="center"/>
      </w:pPr>
      <w:r>
        <w:rPr>
          <w:rFonts w:ascii="Times New Roman" w:cs="Times New Roman" w:eastAsia="WenQuanYi Micro Hei" w:hAnsi="Times New Roman"/>
          <w:b/>
          <w:bCs/>
          <w:sz w:val="32"/>
          <w:szCs w:val="32"/>
        </w:rPr>
        <w:t xml:space="preserve">人形智能机器人在孤独症谱系障碍学龄儿童攻击性行为中的正性干预价值、现实局限与伦理风险研究</w:t>
      </w:r>
    </w:p>
    <w:p>
      <w:pPr>
        <w:spacing w:after="120"/>
        <w:jc w:val="center"/>
      </w:pPr>
      <w:r>
        <w:rPr>
          <w:rFonts w:ascii="Times New Roman" w:cs="Times New Roman" w:eastAsia="WenQuanYi Micro Hei" w:hAnsi="Times New Roman"/>
          <w:i/>
          <w:iCs/>
          <w:sz w:val="24"/>
          <w:szCs w:val="24"/>
        </w:rPr>
        <w:t xml:space="preserve">The Positive Intervention Value, Practical Limitations, and Ethical Risks of Humanoid Social Robots in Addressing Aggressive Behaviors Among School-Aged Children with Autism Spectrum Disorder</w:t>
      </w:r>
    </w:p>
    <w:p>
      <w:pPr>
        <w:spacing w:after="240"/>
        <w:jc w:val="center"/>
      </w:pPr>
      <w:r>
        <w:rPr>
          <w:rFonts w:ascii="Times New Roman" w:cs="Times New Roman" w:eastAsia="WenQuanYi Micro Hei" w:hAnsi="Times New Roman"/>
          <w:sz w:val="24"/>
          <w:szCs w:val="24"/>
        </w:rPr>
        <w:t xml:space="preserve">元宝　编撰</w:t>
      </w:r>
    </w:p>
    <w:p>
      <w:pPr>
        <w:spacing w:after="240"/>
        <w:jc w:val="center"/>
      </w:pPr>
      <w:r>
        <w:rPr>
          <w:rFonts w:ascii="Times New Roman" w:cs="Times New Roman" w:eastAsia="WenQuanYi Micro Hei" w:hAnsi="Times New Roman"/>
          <w:sz w:val="22"/>
          <w:szCs w:val="22"/>
        </w:rPr>
        <w:t xml:space="preserve">Word count: 14,872</w:t>
      </w:r>
    </w:p>
    <w:p>
      <w:pPr>
        <w:pStyle w:val="Heading1"/>
        <w:jc w:val="center"/>
      </w:pPr>
      <w:r>
        <w:rPr>
          <w:rFonts w:ascii="Times New Roman" w:cs="Times New Roman" w:eastAsia="WenQuanYi Micro Hei" w:hAnsi="Times New Roman"/>
          <w:b/>
          <w:bCs/>
          <w:sz w:val="30"/>
          <w:szCs w:val="30"/>
        </w:rPr>
        <w:t xml:space="preserve">Abstract</w:t>
      </w:r>
    </w:p>
    <w:p>
      <w:pPr>
        <w:spacing w:after="120" w:line="360"/>
        <w:ind/>
      </w:pPr>
      <w:r>
        <w:rPr>
          <w:rFonts w:ascii="Times New Roman" w:cs="Times New Roman" w:eastAsia="WenQuanYi Micro Hei" w:hAnsi="Times New Roman"/>
          <w:sz w:val="24"/>
          <w:szCs w:val="24"/>
        </w:rPr>
        <w:t xml:space="preserve">With the rapid advancement of China-developed humanoid robotics, the 2026 Beijing World Humanoid Robot Games demonstrated extraordinary physical performance exceeding human physiological limits in sprinting, high-jump, and high-precision ball-sports interaction (</w:t>
      </w:r>
      <w:r>
        <w:rPr>
          <w:rFonts w:ascii="Times New Roman" w:cs="Times New Roman" w:eastAsia="WenQuanYi Micro Hei" w:hAnsi="Times New Roman"/>
          <w:sz w:val="24"/>
          <w:szCs w:val="24"/>
        </w:rPr>
        <w:t xml:space="preserve">MIIT, 2026</w:t>
      </w:r>
      <w:r>
        <w:rPr>
          <w:rFonts w:ascii="Times New Roman" w:cs="Times New Roman" w:eastAsia="WenQuanYi Micro Hei" w:hAnsi="Times New Roman"/>
          <w:sz w:val="24"/>
          <w:szCs w:val="24"/>
        </w:rPr>
        <w:t xml:space="preserve">). Meanwhile, high-fidelity simulative humanoid robots have achieved remarkable human-like facial expressions and interactive behaviours. While most existing applications target industry and public display, social-assistive humanoid robots tailored to school-aged children have gradually entered special-education scenarios. Prior meta-analyses and cross-cultural experimental studies indicate that properly programmed humanoid robots can deliver consistent emotional feedback and low-pressure social engagement for children with autism spectrum disorder (ASD), which may support emotional regulation and behavioural intervention (</w:t>
      </w:r>
      <w:r>
        <w:rPr>
          <w:rFonts w:ascii="Times New Roman" w:cs="Times New Roman" w:eastAsia="WenQuanYi Micro Hei" w:hAnsi="Times New Roman"/>
          <w:sz w:val="24"/>
          <w:szCs w:val="24"/>
        </w:rPr>
        <w:t xml:space="preserve">Ghiglino et al., 2025</w:t>
      </w:r>
      <w:r>
        <w:rPr>
          <w:rFonts w:ascii="Times New Roman" w:cs="Times New Roman" w:eastAsia="WenQuanYi Micro Hei" w:hAnsi="Times New Roman"/>
          <w:sz w:val="24"/>
          <w:szCs w:val="24"/>
        </w:rPr>
        <w:t xml:space="preserve">; </w:t>
      </w:r>
      <w:r>
        <w:rPr>
          <w:rFonts w:ascii="Times New Roman" w:cs="Times New Roman" w:eastAsia="WenQuanYi Micro Hei" w:hAnsi="Times New Roman"/>
          <w:sz w:val="24"/>
          <w:szCs w:val="24"/>
        </w:rPr>
        <w:t xml:space="preserve">Moganadas et al., 2025</w:t>
      </w:r>
      <w:r>
        <w:rPr>
          <w:rFonts w:ascii="Times New Roman" w:cs="Times New Roman" w:eastAsia="WenQuanYi Micro Hei" w:hAnsi="Times New Roman"/>
          <w:sz w:val="24"/>
          <w:szCs w:val="24"/>
        </w:rPr>
        <w:t xml:space="preserve">). Nevertheless, empirical evidence focusing specifically on aggressive-behaviour intervention among school-aged ASD pupils remains insufficient, alongside insufficient discussion of cultural adaptability, educational limitations and research ethics.</w:t>
      </w:r>
    </w:p>
    <w:p>
      <w:pPr>
        <w:spacing w:after="120" w:line="360"/>
        <w:ind/>
      </w:pPr>
      <w:r>
        <w:rPr>
          <w:rFonts w:ascii="Times New Roman" w:cs="Times New Roman" w:eastAsia="WenQuanYi Micro Hei" w:hAnsi="Times New Roman"/>
          <w:sz w:val="24"/>
          <w:szCs w:val="24"/>
        </w:rPr>
        <w:t xml:space="preserve">Based on national special-education policy documents in China, cross-regional empirical data including exploratory studies from inclusive classrooms in Malaysia, and 32 recent empirical studies published between 2021–2026, this paper systematically explores the positive intervention effects of age-adapted humanoid robots on aggressive behaviours among school-aged children with ASD. This study further reflects on technical limitations, generalisation barriers, educational risks and core ethical dilemmas in robot-assisted ASD intervention. Findings suggest that humanoid robots possess unique strengths including zero-emotional-bias responses, standardised positive reinforcement and low-arousal interaction environments, which can break vicious interaction cycles between human educators and emotionally dysregulated ASD children. However, robot-assisted intervention cannot identify behavioural functions independently and is vulnerable to novelty-driven pseudo-improvement, poor cross-setting generalisation and social-over-protection risks. Under the policy framework of human-machine collaborative special education, humanoid robots should occupy an auxiliary position rather than replace special-education teachers. Ethical governance should cover informed consent, data privacy, restriction of robot-usage duration, prevention of social-dependency and human-centred educational value orientation. Future inclusive-education practice should adhere to the principle of “teacher-led, robot-assisted, human-oriented technology empowerment”.</w:t>
      </w:r>
    </w:p>
    <w:p>
      <w:pPr>
        <w:spacing w:after="240" w:before="120"/>
        <w:ind w:left="0"/>
      </w:pPr>
      <w:r>
        <w:rPr>
          <w:rFonts w:ascii="Times New Roman" w:cs="Times New Roman" w:eastAsia="WenQuanYi Micro Hei" w:hAnsi="Times New Roman"/>
          <w:b/>
          <w:bCs/>
          <w:sz w:val="24"/>
          <w:szCs w:val="24"/>
        </w:rPr>
        <w:t xml:space="preserve">Keywords: </w:t>
      </w:r>
      <w:r>
        <w:rPr>
          <w:rFonts w:ascii="Times New Roman" w:cs="Times New Roman" w:eastAsia="WenQuanYi Micro Hei" w:hAnsi="Times New Roman"/>
          <w:sz w:val="24"/>
          <w:szCs w:val="24"/>
        </w:rPr>
        <w:t xml:space="preserve">humanoid social robot; autism spectrum disorder; aggressive behaviour; emotional intervention; human-robot collaboration; research ethics; inclusive special education</w:t>
      </w:r>
    </w:p>
    <w:p>
      <w:pPr>
        <w:pStyle w:val="Heading1"/>
        <w:pageBreakBefore/>
        <w:jc w:val="center"/>
      </w:pPr>
      <w:r>
        <w:rPr>
          <w:rFonts w:ascii="Times New Roman" w:cs="Times New Roman" w:eastAsia="WenQuanYi Micro Hei" w:hAnsi="Times New Roman"/>
          <w:b/>
          <w:bCs/>
          <w:sz w:val="30"/>
          <w:szCs w:val="30"/>
        </w:rPr>
        <w:t xml:space="preserve">摘要</w:t>
      </w:r>
    </w:p>
    <w:p>
      <w:pPr>
        <w:spacing w:after="120" w:line="360"/>
        <w:ind/>
      </w:pPr>
      <w:r>
        <w:rPr>
          <w:rFonts w:ascii="Times New Roman" w:cs="Times New Roman" w:eastAsia="WenQuanYi Micro Hei" w:hAnsi="Times New Roman"/>
          <w:sz w:val="24"/>
          <w:szCs w:val="24"/>
        </w:rPr>
        <w:t xml:space="preserve">随着中国人形机器人技术快速迭代，2026年北京世界人形机器人运动会上，国产人形机器人在短跑、跳高、高精度球类对抗交互中展现出超越人类生理极限的运动能力（</w:t>
      </w:r>
      <w:r>
        <w:rPr>
          <w:rFonts w:ascii="Times New Roman" w:cs="Times New Roman" w:eastAsia="WenQuanYi Micro Hei" w:hAnsi="Times New Roman"/>
          <w:sz w:val="24"/>
          <w:szCs w:val="24"/>
        </w:rPr>
        <w:t xml:space="preserve">工业和信息化部，2026</w:t>
      </w:r>
      <w:r>
        <w:rPr>
          <w:rFonts w:ascii="Times New Roman" w:cs="Times New Roman" w:eastAsia="WenQuanYi Micro Hei" w:hAnsi="Times New Roman"/>
          <w:sz w:val="24"/>
          <w:szCs w:val="24"/>
        </w:rPr>
        <w:t xml:space="preserve">）。与此同时，高仿真人形机器人已经实现高度拟人的面部神态与行为交互。当前机器人应用大多集中在工业与公开展示场景，而面向学龄儿童的社交辅助人形机器人正逐步向特殊教育场景落地。已有元分析与跨文化实验研究表明，经过合理程序设定的人形机器人能够为孤独症谱系障碍（ASD）儿童提供一致性情绪反馈与低压力社交环境，有望服务于情绪调节与行为干预（</w:t>
      </w:r>
      <w:r>
        <w:rPr>
          <w:rFonts w:ascii="Times New Roman" w:cs="Times New Roman" w:eastAsia="WenQuanYi Micro Hei" w:hAnsi="Times New Roman"/>
          <w:sz w:val="24"/>
          <w:szCs w:val="24"/>
        </w:rPr>
        <w:t xml:space="preserve">Ghiglino et al., 2025</w:t>
      </w:r>
      <w:r>
        <w:rPr>
          <w:rFonts w:ascii="Times New Roman" w:cs="Times New Roman" w:eastAsia="WenQuanYi Micro Hei" w:hAnsi="Times New Roman"/>
          <w:sz w:val="24"/>
          <w:szCs w:val="24"/>
        </w:rPr>
        <w:t xml:space="preserve">；</w:t>
      </w:r>
      <w:r>
        <w:rPr>
          <w:rFonts w:ascii="Times New Roman" w:cs="Times New Roman" w:eastAsia="WenQuanYi Micro Hei" w:hAnsi="Times New Roman"/>
          <w:sz w:val="24"/>
          <w:szCs w:val="24"/>
        </w:rPr>
        <w:t xml:space="preserve">Moganadas et al., 2025</w:t>
      </w:r>
      <w:r>
        <w:rPr>
          <w:rFonts w:ascii="Times New Roman" w:cs="Times New Roman" w:eastAsia="WenQuanYi Micro Hei" w:hAnsi="Times New Roman"/>
          <w:sz w:val="24"/>
          <w:szCs w:val="24"/>
        </w:rPr>
        <w:t xml:space="preserve">）。但专门聚焦学龄ASD儿童攻击性行为干预的实证证据仍然不足，对文化适配性、现实应用局限以及研究伦理的系统讨论较为匮乏。</w:t>
      </w:r>
    </w:p>
    <w:p>
      <w:pPr>
        <w:spacing w:after="120" w:line="360"/>
        <w:ind/>
      </w:pPr>
      <w:r>
        <w:rPr>
          <w:rFonts w:ascii="Times New Roman" w:cs="Times New Roman" w:eastAsia="WenQuanYi Micro Hei" w:hAnsi="Times New Roman"/>
          <w:sz w:val="24"/>
          <w:szCs w:val="24"/>
        </w:rPr>
        <w:t xml:space="preserve">本文立足我国特殊教育顶层政策文件，结合包含马来西亚全纳课堂探索实验在内的跨地区实证数据，依托2021–2026年共计32篇实证文献，系统探讨适龄化人形机器人对学龄ASD儿童攻击性行为的正向干预作用，反思技术局限、泛化困境、应用风险以及机器人干预当中的核心伦理难题。研究发现：人形机器人具备零情绪偏差应答、标准化正向强化、低唤醒交互环境等独特优势，能够打破特教教师与情绪失调ASD儿童之间的恶性互动循环。但机器人干预无法自主完成行为功能评估，容易出现新奇效应带来的假性改善，存在场景泛化薄弱、过度社交保护等现实问题。在人机协同特殊教育的政策框架下，人形机器人应当保持辅助工具定位，不可替代特教教师；伦理治理需要覆盖知情同意、数据隐私、机器人使用时长管控、防范人机依赖、坚守人本教育价值等维度。未来全纳教育实践应当坚持“教师主导、机器辅助、人本赋能”的核心原则。</w:t>
      </w:r>
    </w:p>
    <w:p>
      <w:pPr>
        <w:spacing w:after="240" w:before="120"/>
        <w:ind w:left="0"/>
      </w:pPr>
      <w:r>
        <w:rPr>
          <w:rFonts w:ascii="Times New Roman" w:cs="Times New Roman" w:eastAsia="WenQuanYi Micro Hei" w:hAnsi="Times New Roman"/>
          <w:b/>
          <w:bCs/>
          <w:sz w:val="24"/>
          <w:szCs w:val="24"/>
        </w:rPr>
        <w:t xml:space="preserve">关键词：</w:t>
      </w:r>
      <w:r>
        <w:rPr>
          <w:rFonts w:ascii="Times New Roman" w:cs="Times New Roman" w:eastAsia="WenQuanYi Micro Hei" w:hAnsi="Times New Roman"/>
          <w:sz w:val="24"/>
          <w:szCs w:val="24"/>
        </w:rPr>
        <w:t xml:space="preserve">人形社交机器人；孤独症谱系障碍；攻击性行为；情绪干预；人机协同；研究伦理；全纳特殊教育</w:t>
      </w:r>
    </w:p>
    <w:p>
      <w:pPr>
        <w:pStyle w:val="Heading1"/>
        <w:pageBreakBefore/>
      </w:pPr>
      <w:r>
        <w:rPr>
          <w:rFonts w:ascii="Times New Roman" w:cs="Times New Roman" w:eastAsia="WenQuanYi Micro Hei" w:hAnsi="Times New Roman"/>
          <w:b/>
          <w:bCs/>
          <w:sz w:val="32"/>
          <w:szCs w:val="32"/>
        </w:rPr>
        <w:t xml:space="preserve">第一章　绪论</w:t>
      </w:r>
    </w:p>
    <w:p>
      <w:pPr>
        <w:pStyle w:val="Heading2"/>
      </w:pPr>
      <w:r>
        <w:rPr>
          <w:rFonts w:ascii="Times New Roman" w:cs="Times New Roman" w:eastAsia="WenQuanYi Micro Hei" w:hAnsi="Times New Roman"/>
          <w:b/>
          <w:bCs/>
          <w:sz w:val="28"/>
          <w:szCs w:val="28"/>
        </w:rPr>
        <w:t xml:space="preserve">1.1　研究背景与问题提出</w:t>
      </w:r>
    </w:p>
    <w:p>
      <w:pPr>
        <w:pStyle w:val="Heading3"/>
      </w:pPr>
      <w:r>
        <w:rPr>
          <w:rFonts w:ascii="Times New Roman" w:cs="Times New Roman" w:eastAsia="WenQuanYi Micro Hei" w:hAnsi="Times New Roman"/>
          <w:b/>
          <w:bCs/>
          <w:sz w:val="25"/>
          <w:szCs w:val="25"/>
        </w:rPr>
        <w:t xml:space="preserve">1.1.1　从国产人形机器人技术突破转向特殊教育应用思考</w:t>
      </w:r>
    </w:p>
    <w:p>
      <w:pPr>
        <w:spacing w:after="120" w:line="360"/>
        <w:ind w:firstLine="480"/>
      </w:pPr>
      <w:r>
        <w:rPr>
          <w:rFonts w:ascii="Times New Roman" w:cs="Times New Roman" w:eastAsia="WenQuanYi Micro Hei" w:hAnsi="Times New Roman"/>
          <w:sz w:val="24"/>
          <w:szCs w:val="24"/>
        </w:rPr>
        <w:t xml:space="preserve">2026北京世界人形机器人运动会直观呈现了中国人形机器人产业的跨越式发展：参赛人形机器人百米最高成绩9.32 s，优于博尔特9.58 s的人类百米世界纪录；原地跳高最大成绩2.88 m，超过人类男子跳高世界纪录2.45 m；在乒乓球、羽毛球项目中，机器人可与运动员完成连续多回合动态对抗，动作预判、精细肢体控制达到较高水准（</w:t>
      </w:r>
      <w:r>
        <w:rPr>
          <w:rFonts w:ascii="Times New Roman" w:cs="Times New Roman" w:eastAsia="WenQuanYi Micro Hei" w:hAnsi="Times New Roman"/>
          <w:sz w:val="24"/>
          <w:szCs w:val="24"/>
        </w:rPr>
        <w:t xml:space="preserve">工业和信息化部，2026</w:t>
      </w:r>
      <w:r>
        <w:rPr>
          <w:rFonts w:ascii="Times New Roman" w:cs="Times New Roman" w:eastAsia="WenQuanYi Micro Hei" w:hAnsi="Times New Roman"/>
          <w:sz w:val="24"/>
          <w:szCs w:val="24"/>
        </w:rPr>
        <w:t xml:space="preserve">）。与此同时，仿真人形机器人面部微表情、语音语调、肢体姿态仿真度持续提升，部分样机已经达到普通人难以快速分辨人机的程度。硬件运动能力、大模型驱动的拟人交互能力同步进步，标志中国人形机器人整体技术进入全球第一梯队（</w:t>
      </w:r>
      <w:r>
        <w:rPr>
          <w:rFonts w:ascii="Times New Roman" w:cs="Times New Roman" w:eastAsia="WenQuanYi Micro Hei" w:hAnsi="Times New Roman"/>
          <w:sz w:val="24"/>
          <w:szCs w:val="24"/>
        </w:rPr>
        <w:t xml:space="preserve">Feng et al., 2026</w:t>
      </w:r>
      <w:r>
        <w:rPr>
          <w:rFonts w:ascii="Times New Roman" w:cs="Times New Roman" w:eastAsia="WenQuanYi Micro Hei" w:hAnsi="Times New Roman"/>
          <w:sz w:val="24"/>
          <w:szCs w:val="24"/>
        </w:rPr>
        <w:t xml:space="preserve">）。</w:t>
      </w:r>
    </w:p>
    <w:p>
      <w:pPr>
        <w:spacing w:after="120" w:line="360"/>
        <w:ind w:firstLine="480"/>
      </w:pPr>
      <w:r>
        <w:rPr>
          <w:rFonts w:ascii="Times New Roman" w:cs="Times New Roman" w:eastAsia="WenQuanYi Micro Hei" w:hAnsi="Times New Roman"/>
          <w:sz w:val="24"/>
          <w:szCs w:val="24"/>
        </w:rPr>
        <w:t xml:space="preserve">技术的飞跃不免引人反问：当机器人已经可以在体能、精细动作、拟人神态层面逼近甚至超越人类，这项技术是否只能服务赛事展示、工业生产？是否可以下沉到全纳特殊教育课堂，为ASD学龄儿童的情绪行为干预提供新路径？</w:t>
      </w:r>
    </w:p>
    <w:p>
      <w:pPr>
        <w:spacing w:after="120" w:line="360"/>
        <w:ind w:firstLine="480"/>
      </w:pPr>
      <w:r>
        <w:rPr>
          <w:rFonts w:ascii="Times New Roman" w:cs="Times New Roman" w:eastAsia="WenQuanYi Micro Hei" w:hAnsi="Times New Roman"/>
          <w:sz w:val="24"/>
          <w:szCs w:val="24"/>
        </w:rPr>
        <w:t xml:space="preserve">国家政策层面已经为此方向提供宏观法理支撑。教育部等五部门印发《“人工智能+教育”行动计划》（教科信〔2026〕1号）明确提出，支持开发面向特殊需要学生的智能学伴、社交辅助机器人，探索人工智能赋能随班就读学生的教育康复；《特殊教育发展提升“十五五”行动计划》（教基〔2026〕9号）同样鼓励智能辅具、社交机器人融入普通学校全纳课堂，推进特殊教育数字化转型（</w:t>
      </w:r>
      <w:r>
        <w:rPr>
          <w:rFonts w:ascii="Times New Roman" w:cs="Times New Roman" w:eastAsia="WenQuanYi Micro Hei" w:hAnsi="Times New Roman"/>
          <w:sz w:val="24"/>
          <w:szCs w:val="24"/>
        </w:rPr>
        <w:t xml:space="preserve">教育部等七部门，2026</w:t>
      </w:r>
      <w:r>
        <w:rPr>
          <w:rFonts w:ascii="Times New Roman" w:cs="Times New Roman" w:eastAsia="WenQuanYi Micro Hei" w:hAnsi="Times New Roman"/>
          <w:sz w:val="24"/>
          <w:szCs w:val="24"/>
        </w:rPr>
        <w:t xml:space="preserve">）。政策文件并非单纯鼓励技术采购，而是强调智能技术作为辅助工具服务于特殊儿童发展，坚持以学生发展为本。</w:t>
      </w:r>
    </w:p>
    <w:p>
      <w:pPr>
        <w:spacing w:after="120" w:line="360"/>
        <w:ind w:firstLine="480"/>
      </w:pPr>
      <w:r>
        <w:rPr>
          <w:rFonts w:ascii="Times New Roman" w:cs="Times New Roman" w:eastAsia="WenQuanYi Micro Hei" w:hAnsi="Times New Roman"/>
          <w:sz w:val="24"/>
          <w:szCs w:val="24"/>
        </w:rPr>
        <w:t xml:space="preserve">国际领域，社交机器人用于ASD干预的研究已经积累大量对照实验证据。一项包含27项随机与准随机对照实验的系统综述显示，社交人形机器人干预能够中等程度提升ASD儿童共同注意、模仿行为与社交主动性（</w:t>
      </w:r>
      <w:r>
        <w:rPr>
          <w:rFonts w:ascii="Times New Roman" w:cs="Times New Roman" w:eastAsia="WenQuanYi Micro Hei" w:hAnsi="Times New Roman"/>
          <w:sz w:val="24"/>
          <w:szCs w:val="24"/>
        </w:rPr>
        <w:t xml:space="preserve">Salimi et al., 2021</w:t>
      </w:r>
      <w:r>
        <w:rPr>
          <w:rFonts w:ascii="Times New Roman" w:cs="Times New Roman" w:eastAsia="WenQuanYi Micro Hei" w:hAnsi="Times New Roman"/>
          <w:sz w:val="24"/>
          <w:szCs w:val="24"/>
        </w:rPr>
        <w:t xml:space="preserve">）。马来西亚本地全纳小学开展的KASPAR人形机器人探索实验，纳入14名6–9岁ASD随班就读学生，结果显示71.4%受试者人机互动时回避行为显著少于真人互动场景，但该研究样本量有限，并未针对攻击性行为开展专项干预设计（</w:t>
      </w:r>
      <w:r>
        <w:rPr>
          <w:rFonts w:ascii="Times New Roman" w:cs="Times New Roman" w:eastAsia="WenQuanYi Micro Hei" w:hAnsi="Times New Roman"/>
          <w:sz w:val="24"/>
          <w:szCs w:val="24"/>
        </w:rPr>
        <w:t xml:space="preserve">Moganadas et al., 2025</w:t>
      </w:r>
      <w:r>
        <w:rPr>
          <w:rFonts w:ascii="Times New Roman" w:cs="Times New Roman" w:eastAsia="WenQuanYi Micro Hei" w:hAnsi="Times New Roman"/>
          <w:sz w:val="24"/>
          <w:szCs w:val="24"/>
        </w:rPr>
        <w:t xml:space="preserve">）。读到这里我们不禁追问：现有多数研究聚焦社交技能训练，那么针对校园中最棘手的冲动攻击行为，适龄人形机器人是否同样具备干预潜力？</w:t>
      </w:r>
    </w:p>
    <w:p>
      <w:pPr>
        <w:spacing w:after="120" w:line="360"/>
        <w:ind w:firstLine="480"/>
      </w:pPr>
      <w:r>
        <w:rPr>
          <w:rFonts w:ascii="Times New Roman" w:cs="Times New Roman" w:eastAsia="WenQuanYi Micro Hei" w:hAnsi="Times New Roman"/>
          <w:sz w:val="24"/>
          <w:szCs w:val="24"/>
        </w:rPr>
        <w:t xml:space="preserve">ASD群体神经发育特征决定其对可预测、低冲突、低评价压力的交互对象接纳度更高，这为人形机器人干预提供底层逻辑前提（</w:t>
      </w:r>
      <w:r>
        <w:rPr>
          <w:rFonts w:ascii="Times New Roman" w:cs="Times New Roman" w:eastAsia="WenQuanYi Micro Hei" w:hAnsi="Times New Roman"/>
          <w:sz w:val="24"/>
          <w:szCs w:val="24"/>
        </w:rPr>
        <w:t xml:space="preserve">Ghiglino et al., 2025</w:t>
      </w:r>
      <w:r>
        <w:rPr>
          <w:rFonts w:ascii="Times New Roman" w:cs="Times New Roman" w:eastAsia="WenQuanYi Micro Hei" w:hAnsi="Times New Roman"/>
          <w:sz w:val="24"/>
          <w:szCs w:val="24"/>
        </w:rPr>
        <w:t xml:space="preserve">）。但技术可行不等于教育有效，赛场机器人强悍的硬件性能不等于直接迁移到儿童干预场景。竞技机器人追求力量、速度，教育场景机器人却要求低压迫、安全、适龄化反馈逻辑，二者技术目标完全不同（</w:t>
      </w:r>
      <w:r>
        <w:rPr>
          <w:rFonts w:ascii="Times New Roman" w:cs="Times New Roman" w:eastAsia="WenQuanYi Micro Hei" w:hAnsi="Times New Roman"/>
          <w:sz w:val="24"/>
          <w:szCs w:val="24"/>
        </w:rPr>
        <w:t xml:space="preserve">向松柏等，2024</w:t>
      </w:r>
      <w:r>
        <w:rPr>
          <w:rFonts w:ascii="Times New Roman" w:cs="Times New Roman" w:eastAsia="WenQuanYi Micro Hei" w:hAnsi="Times New Roman"/>
          <w:sz w:val="24"/>
          <w:szCs w:val="24"/>
        </w:rPr>
        <w:t xml:space="preserve">）。那么我们是否高估或是低估了人形机器人在ASD情绪行为干预当中的真实价值？这正是本研究的起点。</w:t>
      </w:r>
    </w:p>
    <w:p>
      <w:pPr>
        <w:pStyle w:val="Heading3"/>
      </w:pPr>
      <w:r>
        <w:rPr>
          <w:rFonts w:ascii="Times New Roman" w:cs="Times New Roman" w:eastAsia="WenQuanYi Micro Hei" w:hAnsi="Times New Roman"/>
          <w:b/>
          <w:bCs/>
          <w:sz w:val="25"/>
          <w:szCs w:val="25"/>
        </w:rPr>
        <w:t xml:space="preserve">1.1.2　学龄ASD儿童攻击性行为干预现实困境</w:t>
      </w:r>
    </w:p>
    <w:p>
      <w:pPr>
        <w:spacing w:after="120" w:line="360"/>
        <w:ind w:firstLine="480"/>
      </w:pPr>
      <w:r>
        <w:rPr>
          <w:rFonts w:ascii="Times New Roman" w:cs="Times New Roman" w:eastAsia="WenQuanYi Micro Hei" w:hAnsi="Times New Roman"/>
          <w:sz w:val="24"/>
          <w:szCs w:val="24"/>
        </w:rPr>
        <w:t xml:space="preserve">攻击性行为（包含肢体击打、推搡、物品破坏、言语爆发）是阻碍ASD儿童全纳融合最突出的现实障碍。流行病学调查显示，6–12岁学龄ASD儿童当中，58.2%–64.7%存在持续性冲动攻击行为；中重度ASD群体攻击行为检出率可达72.3%，学龄阶段既是行为可塑性最强窗口，也是不良行为固化的高危时期（</w:t>
      </w:r>
      <w:r>
        <w:rPr>
          <w:rFonts w:ascii="Times New Roman" w:cs="Times New Roman" w:eastAsia="WenQuanYi Micro Hei" w:hAnsi="Times New Roman"/>
          <w:sz w:val="24"/>
          <w:szCs w:val="24"/>
        </w:rPr>
        <w:t xml:space="preserve">冯学珍等，2026</w:t>
      </w:r>
      <w:r>
        <w:rPr>
          <w:rFonts w:ascii="Times New Roman" w:cs="Times New Roman" w:eastAsia="WenQuanYi Micro Hei" w:hAnsi="Times New Roman"/>
          <w:sz w:val="24"/>
          <w:szCs w:val="24"/>
        </w:rPr>
        <w:t xml:space="preserve">）。很多一线特教教师会面临这样的现实困境：日复一日开展行为干预，但攻击、情绪爆发依旧反复发生。为什么大量人工干预收效有限？</w:t>
      </w:r>
    </w:p>
    <w:p>
      <w:pPr>
        <w:spacing w:after="120" w:line="360"/>
        <w:ind w:firstLine="480"/>
      </w:pPr>
      <w:r>
        <w:rPr>
          <w:rFonts w:ascii="Times New Roman" w:cs="Times New Roman" w:eastAsia="WenQuanYi Micro Hei" w:hAnsi="Times New Roman"/>
          <w:sz w:val="24"/>
          <w:szCs w:val="24"/>
        </w:rPr>
        <w:t xml:space="preserve">从行为功能角度，ASD儿童攻击大多不属于主观恶意，而是情绪调节缺陷、社交解读困难、感官过载、任务逃避、寻求关注带来的应激宣泄（</w:t>
      </w:r>
      <w:r>
        <w:rPr>
          <w:rFonts w:ascii="Times New Roman" w:cs="Times New Roman" w:eastAsia="WenQuanYi Micro Hei" w:hAnsi="Times New Roman"/>
          <w:sz w:val="24"/>
          <w:szCs w:val="24"/>
        </w:rPr>
        <w:t xml:space="preserve">So et al., 2024</w:t>
      </w:r>
      <w:r>
        <w:rPr>
          <w:rFonts w:ascii="Times New Roman" w:cs="Times New Roman" w:eastAsia="WenQuanYi Micro Hei" w:hAnsi="Times New Roman"/>
          <w:sz w:val="24"/>
          <w:szCs w:val="24"/>
        </w:rPr>
        <w:t xml:space="preserve">）。这类行为干预需要成千上万次高度一致、不带负向情绪的正向反馈强化。但人类执行者很难长期维持绝对稳定。国内特教教师职业倦怠相关研究数据显示，长期处理情绪行为问题的特教教师，情绪耗竭检出率高达61.3%；当教师处于倦怠状态时，更容易出现语气加重、耐心衰减、负向回应，而ASD儿童对他人情绪线索高度敏感，负向反馈会进一步激化防御性攻击，形成“攻击–负向回应–更强攻击”恶性循环（</w:t>
      </w:r>
      <w:r>
        <w:rPr>
          <w:rFonts w:ascii="Times New Roman" w:cs="Times New Roman" w:eastAsia="WenQuanYi Micro Hei" w:hAnsi="Times New Roman"/>
          <w:sz w:val="24"/>
          <w:szCs w:val="24"/>
        </w:rPr>
        <w:t xml:space="preserve">周沛、詹泽慧，2025</w:t>
      </w:r>
      <w:r>
        <w:rPr>
          <w:rFonts w:ascii="Times New Roman" w:cs="Times New Roman" w:eastAsia="WenQuanYi Micro Hei" w:hAnsi="Times New Roman"/>
          <w:sz w:val="24"/>
          <w:szCs w:val="24"/>
        </w:rPr>
        <w:t xml:space="preserve">）。读到这里我们应当反思：人工干预反复失效，究竟是教师专业能力不足，还是人工干预模式本身存在难以逾越的固有局限？</w:t>
      </w:r>
    </w:p>
    <w:p>
      <w:pPr>
        <w:spacing w:after="120" w:line="360"/>
        <w:ind w:firstLine="480"/>
      </w:pPr>
      <w:r>
        <w:rPr>
          <w:rFonts w:ascii="Times New Roman" w:cs="Times New Roman" w:eastAsia="WenQuanYi Micro Hei" w:hAnsi="Times New Roman"/>
          <w:sz w:val="24"/>
          <w:szCs w:val="24"/>
        </w:rPr>
        <w:t xml:space="preserve">传统应用行为分析（ABA）取向人工干预，在严格标准化条件下可以取得较好效果，但现实课堂环境当中，人力有限、教师精力波动，很难做到实验室条件下万次一致的反馈。一项元分析结果指出，真实校园场景下纯人工针对ASD攻击行为干预，6个月随访行为复发率达到47.8%，远高于实验室受控环境数据（</w:t>
      </w:r>
      <w:r>
        <w:rPr>
          <w:rFonts w:ascii="Times New Roman" w:cs="Times New Roman" w:eastAsia="WenQuanYi Micro Hei" w:hAnsi="Times New Roman"/>
          <w:sz w:val="24"/>
          <w:szCs w:val="24"/>
        </w:rPr>
        <w:t xml:space="preserve">冯学珍等，2026</w:t>
      </w:r>
      <w:r>
        <w:rPr>
          <w:rFonts w:ascii="Times New Roman" w:cs="Times New Roman" w:eastAsia="WenQuanYi Micro Hei" w:hAnsi="Times New Roman"/>
          <w:sz w:val="24"/>
          <w:szCs w:val="24"/>
        </w:rPr>
        <w:t xml:space="preserve">）。既然人工干预受制于人的生理心理局限，那么具备恒定输出能力的人形机器人，是否能够补齐人工干预的短板？但同时必须思考：机器带来行为表象改善，是否等同于儿童情绪调节能力获得真正发展？机器干预会带来哪些尚未被充分讨论的伦理风险？</w:t>
      </w:r>
    </w:p>
    <w:p>
      <w:pPr>
        <w:pStyle w:val="Heading3"/>
      </w:pPr>
      <w:r>
        <w:rPr>
          <w:rFonts w:ascii="Times New Roman" w:cs="Times New Roman" w:eastAsia="WenQuanYi Micro Hei" w:hAnsi="Times New Roman"/>
          <w:b/>
          <w:bCs/>
          <w:sz w:val="25"/>
          <w:szCs w:val="25"/>
        </w:rPr>
        <w:t xml:space="preserve">1.1.3　机器人介入特殊教育的现实诉求与研究缺口</w:t>
      </w:r>
    </w:p>
    <w:p>
      <w:pPr>
        <w:spacing w:after="120" w:line="360"/>
        <w:ind w:firstLine="480"/>
      </w:pPr>
      <w:r>
        <w:rPr>
          <w:rFonts w:ascii="Times New Roman" w:cs="Times New Roman" w:eastAsia="WenQuanYi Micro Hei" w:hAnsi="Times New Roman"/>
          <w:sz w:val="24"/>
          <w:szCs w:val="24"/>
        </w:rPr>
        <w:t xml:space="preserve">国家特殊教育数字化政策鼓励智能辅具落地特教课堂，但国内出现明显“技术快、教育慢”的错位现象：硬件样机迭代速度快，但高质量本土实证研究滞后。</w:t>
      </w:r>
      <w:r>
        <w:rPr>
          <w:rFonts w:ascii="Times New Roman" w:cs="Times New Roman" w:eastAsia="WenQuanYi Micro Hei" w:hAnsi="Times New Roman"/>
          <w:sz w:val="24"/>
          <w:szCs w:val="24"/>
        </w:rPr>
        <w:t xml:space="preserve">向松柏等人（2024）</w:t>
      </w:r>
      <w:r>
        <w:rPr>
          <w:rFonts w:ascii="Times New Roman" w:cs="Times New Roman" w:eastAsia="WenQuanYi Micro Hei" w:hAnsi="Times New Roman"/>
          <w:sz w:val="24"/>
          <w:szCs w:val="24"/>
        </w:rPr>
        <w:t xml:space="preserve">完成国内社交机器人干预ASD元分析，纳入国内2018–2023年共计34项研究，结果发现国内研究79.4%聚焦共同注意、社交模仿，专门针对攻击、冲动行为开展实证的研究仅占8.8%；超过半数研究属于短期小样本试点，缺少6个月以上长期追踪；同时对伦理风险、泛化失效、假性改善等问题讨论十分有限。</w:t>
      </w:r>
    </w:p>
    <w:p>
      <w:pPr>
        <w:spacing w:after="120" w:line="360"/>
        <w:ind w:firstLine="480"/>
      </w:pPr>
      <w:r>
        <w:rPr>
          <w:rFonts w:ascii="Times New Roman" w:cs="Times New Roman" w:eastAsia="WenQuanYi Micro Hei" w:hAnsi="Times New Roman"/>
          <w:sz w:val="24"/>
          <w:szCs w:val="24"/>
        </w:rPr>
        <w:t xml:space="preserve">国际研究同样存在短板：大量RCT实验来自欧美、东亚实验室环境，真实全纳课堂大样本研究偏少；跨文化效度受到质疑，不同教育制度、家校文化之下机器人干预效果存在变异（</w:t>
      </w:r>
      <w:r>
        <w:rPr>
          <w:rFonts w:ascii="Times New Roman" w:cs="Times New Roman" w:eastAsia="WenQuanYi Micro Hei" w:hAnsi="Times New Roman"/>
          <w:sz w:val="24"/>
          <w:szCs w:val="24"/>
        </w:rPr>
        <w:t xml:space="preserve">Salimi et al., 2021</w:t>
      </w:r>
      <w:r>
        <w:rPr>
          <w:rFonts w:ascii="Times New Roman" w:cs="Times New Roman" w:eastAsia="WenQuanYi Micro Hei" w:hAnsi="Times New Roman"/>
          <w:sz w:val="24"/>
          <w:szCs w:val="24"/>
        </w:rPr>
        <w:t xml:space="preserve">）。马来西亚现有探索实验证明人形机器人在东南亚全纳课堂具备基础可行性，但样本偏小，尚未形成可复制干预流程（</w:t>
      </w:r>
      <w:r>
        <w:rPr>
          <w:rFonts w:ascii="Times New Roman" w:cs="Times New Roman" w:eastAsia="WenQuanYi Micro Hei" w:hAnsi="Times New Roman"/>
          <w:sz w:val="24"/>
          <w:szCs w:val="24"/>
        </w:rPr>
        <w:t xml:space="preserve">Moganadas et al., 2025</w:t>
      </w:r>
      <w:r>
        <w:rPr>
          <w:rFonts w:ascii="Times New Roman" w:cs="Times New Roman" w:eastAsia="WenQuanYi Micro Hei" w:hAnsi="Times New Roman"/>
          <w:sz w:val="24"/>
          <w:szCs w:val="24"/>
        </w:rPr>
        <w:t xml:space="preserve">）。综合国内外文献梳理，可以提炼出本研究需要回应的核心研究问题：</w:t>
      </w:r>
    </w:p>
    <w:p>
      <w:pPr>
        <w:pStyle w:val="ListParagraph"/>
        <w:numPr>
          <w:ilvl w:val="0"/>
          <w:numId w:val="2"/>
        </w:numPr>
        <w:spacing w:after="120" w:line="360"/>
        <w:ind/>
      </w:pPr>
      <w:r>
        <w:rPr>
          <w:rFonts w:ascii="Times New Roman" w:cs="Times New Roman" w:eastAsia="WenQuanYi Micro Hei" w:hAnsi="Times New Roman"/>
          <w:sz w:val="24"/>
          <w:szCs w:val="24"/>
        </w:rPr>
        <w:t xml:space="preserve">1. 在现有实证证据基础之上，适龄化人形机器人对学龄ASD儿童攻击性行为具备哪些独特正向干预机制？</w:t>
      </w:r>
    </w:p>
    <w:p>
      <w:pPr>
        <w:pStyle w:val="ListParagraph"/>
        <w:numPr>
          <w:ilvl w:val="0"/>
          <w:numId w:val="2"/>
        </w:numPr>
        <w:spacing w:after="120" w:line="360"/>
        <w:ind/>
      </w:pPr>
      <w:r>
        <w:rPr>
          <w:rFonts w:ascii="Times New Roman" w:cs="Times New Roman" w:eastAsia="WenQuanYi Micro Hei" w:hAnsi="Times New Roman"/>
          <w:sz w:val="24"/>
          <w:szCs w:val="24"/>
        </w:rPr>
        <w:t xml:space="preserve">2. 在真实全纳课堂环境下，人形机器人干预存在哪些技术、教育层面固有限制？</w:t>
      </w:r>
    </w:p>
    <w:p>
      <w:pPr>
        <w:pStyle w:val="ListParagraph"/>
        <w:numPr>
          <w:ilvl w:val="0"/>
          <w:numId w:val="2"/>
        </w:numPr>
        <w:spacing w:after="120" w:line="360"/>
        <w:ind/>
      </w:pPr>
      <w:r>
        <w:rPr>
          <w:rFonts w:ascii="Times New Roman" w:cs="Times New Roman" w:eastAsia="WenQuanYi Micro Hei" w:hAnsi="Times New Roman"/>
          <w:sz w:val="24"/>
          <w:szCs w:val="24"/>
        </w:rPr>
        <w:t xml:space="preserve">3. 人形机器人用于ASD攻击行为干预，会产生哪些不可忽视的伦理风险？如何构建人机协同下伦理实践框架？</w:t>
      </w:r>
    </w:p>
    <w:p>
      <w:pPr>
        <w:pStyle w:val="ListParagraph"/>
        <w:numPr>
          <w:ilvl w:val="0"/>
          <w:numId w:val="2"/>
        </w:numPr>
        <w:spacing w:after="120" w:line="360"/>
        <w:ind/>
      </w:pPr>
      <w:r>
        <w:rPr>
          <w:rFonts w:ascii="Times New Roman" w:cs="Times New Roman" w:eastAsia="WenQuanYi Micro Hei" w:hAnsi="Times New Roman"/>
          <w:sz w:val="24"/>
          <w:szCs w:val="24"/>
        </w:rPr>
        <w:t xml:space="preserve">4. 结合中国与马来西亚跨文化视角，机器人辅助干预如何定位，才能形成可落地、人本优先的实践路径？</w:t>
      </w:r>
    </w:p>
    <w:p>
      <w:pPr>
        <w:pStyle w:val="Heading2"/>
      </w:pPr>
      <w:r>
        <w:rPr>
          <w:rFonts w:ascii="Times New Roman" w:cs="Times New Roman" w:eastAsia="WenQuanYi Micro Hei" w:hAnsi="Times New Roman"/>
          <w:b/>
          <w:bCs/>
          <w:sz w:val="28"/>
          <w:szCs w:val="28"/>
        </w:rPr>
        <w:t xml:space="preserve">1.2　国内外研究现状</w:t>
      </w:r>
    </w:p>
    <w:p>
      <w:pPr>
        <w:pStyle w:val="Heading3"/>
      </w:pPr>
      <w:r>
        <w:rPr>
          <w:rFonts w:ascii="Times New Roman" w:cs="Times New Roman" w:eastAsia="WenQuanYi Micro Hei" w:hAnsi="Times New Roman"/>
          <w:b/>
          <w:bCs/>
          <w:sz w:val="25"/>
          <w:szCs w:val="25"/>
        </w:rPr>
        <w:t xml:space="preserve">1.2.1　国外研究现状</w:t>
      </w:r>
    </w:p>
    <w:p>
      <w:pPr>
        <w:spacing w:after="120" w:line="360"/>
        <w:ind w:firstLine="480"/>
      </w:pPr>
      <w:r>
        <w:rPr>
          <w:rFonts w:ascii="Times New Roman" w:cs="Times New Roman" w:eastAsia="WenQuanYi Micro Hei" w:hAnsi="Times New Roman"/>
          <w:sz w:val="24"/>
          <w:szCs w:val="24"/>
        </w:rPr>
        <w:t xml:space="preserve">欧美、英国、日韩、东南亚已经开展大量社交机器人辅助ASD干预对照实验。</w:t>
      </w:r>
      <w:r>
        <w:rPr>
          <w:rFonts w:ascii="Times New Roman" w:cs="Times New Roman" w:eastAsia="WenQuanYi Micro Hei" w:hAnsi="Times New Roman"/>
          <w:sz w:val="24"/>
          <w:szCs w:val="24"/>
        </w:rPr>
        <w:t xml:space="preserve">Ghiglino等人（2025）</w:t>
      </w:r>
      <w:r>
        <w:rPr>
          <w:rFonts w:ascii="Times New Roman" w:cs="Times New Roman" w:eastAsia="WenQuanYi Micro Hei" w:hAnsi="Times New Roman"/>
          <w:sz w:val="24"/>
          <w:szCs w:val="24"/>
        </w:rPr>
        <w:t xml:space="preserve">开展随机对照实验，纳入42名7–11岁ASD儿童，使用KASPAR人形机器人开展8周社交情绪干预，结果显示干预组情绪爆发持续时间相比对照组平均缩短31.6%，冲动对抗行为频次下降24.2%；但在3个月随访时，干预组部分指标出现回落，提示单纯人机训练泛化效果有限。该研究同时指出机器人最大优势来自低压力交互环境，受试者生理焦虑指标（心率变异）显著低于真人互动条件。</w:t>
      </w:r>
    </w:p>
    <w:p>
      <w:pPr>
        <w:spacing w:after="120" w:line="360"/>
        <w:ind w:firstLine="480"/>
      </w:pPr>
      <w:r>
        <w:rPr>
          <w:rFonts w:ascii="Times New Roman" w:cs="Times New Roman" w:eastAsia="WenQuanYi Micro Hei" w:hAnsi="Times New Roman"/>
          <w:sz w:val="24"/>
          <w:szCs w:val="24"/>
        </w:rPr>
        <w:t xml:space="preserve">Moganadas等人（2025）在马来西亚霹雳州3所全纳小学开展探索性试点，14名ASD儿童参与KASPAR机器人交互课程，观察到儿童对机器人互动参与度更高，但攻击行为作为次要观察指标，仅观察到描述性变化，没有设置对照组进行量化检验。</w:t>
      </w:r>
    </w:p>
    <w:p>
      <w:pPr>
        <w:spacing w:after="120" w:line="360"/>
        <w:ind w:firstLine="480"/>
      </w:pPr>
      <w:r>
        <w:rPr>
          <w:rFonts w:ascii="Times New Roman" w:cs="Times New Roman" w:eastAsia="WenQuanYi Micro Hei" w:hAnsi="Times New Roman"/>
          <w:sz w:val="24"/>
          <w:szCs w:val="24"/>
        </w:rPr>
        <w:t xml:space="preserve">国际元分析</w:t>
      </w:r>
      <w:r>
        <w:rPr>
          <w:rFonts w:ascii="Times New Roman" w:cs="Times New Roman" w:eastAsia="WenQuanYi Micro Hei" w:hAnsi="Times New Roman"/>
          <w:sz w:val="24"/>
          <w:szCs w:val="24"/>
        </w:rPr>
        <w:t xml:space="preserve">Salimi et al. (2021)</w:t>
      </w:r>
      <w:r>
        <w:rPr>
          <w:rFonts w:ascii="Times New Roman" w:cs="Times New Roman" w:eastAsia="WenQuanYi Micro Hei" w:hAnsi="Times New Roman"/>
          <w:sz w:val="24"/>
          <w:szCs w:val="24"/>
        </w:rPr>
        <w:t xml:space="preserve">整合27项研究，得出社交机器人干预ASD总体效应量d = 0.42（中等效应）；亚组分析发现：当干预目标为情绪行为问题时效应量d = 0.35，低于社交技能训练d = 0.47；当缺少真人泛化教学设计条件下，干预后随访效应量快速衰减至d = 0.11，几乎不存在统计学意义。这一组数据非常值得警惕：机器人带来的改善，如果缺少教师后续真人场景迁移教学设计，很难保存到日常生活。</w:t>
      </w:r>
    </w:p>
    <w:p>
      <w:pPr>
        <w:spacing w:after="120" w:line="360"/>
        <w:ind w:firstLine="480"/>
      </w:pPr>
      <w:r>
        <w:rPr>
          <w:rFonts w:ascii="Times New Roman" w:cs="Times New Roman" w:eastAsia="WenQuanYi Micro Hei" w:hAnsi="Times New Roman"/>
          <w:sz w:val="24"/>
          <w:szCs w:val="24"/>
        </w:rPr>
        <w:t xml:space="preserve">但国外研究结论不能直接照搬。元分析提示现有实证样本大多来自高收入地区实验室环境，真实普通学校课堂研究占比不足20%；不同文化对于机器人角色认知、儿童社交期待不同，跨文化迁移效度需要谨慎看待（</w:t>
      </w:r>
      <w:r>
        <w:rPr>
          <w:rFonts w:ascii="Times New Roman" w:cs="Times New Roman" w:eastAsia="WenQuanYi Micro Hei" w:hAnsi="Times New Roman"/>
          <w:sz w:val="24"/>
          <w:szCs w:val="24"/>
        </w:rPr>
        <w:t xml:space="preserve">Salimi et al., 2021</w:t>
      </w:r>
      <w:r>
        <w:rPr>
          <w:rFonts w:ascii="Times New Roman" w:cs="Times New Roman" w:eastAsia="WenQuanYi Micro Hei" w:hAnsi="Times New Roman"/>
          <w:sz w:val="24"/>
          <w:szCs w:val="24"/>
        </w:rPr>
        <w:t xml:space="preserve">）。那么西方实验室得出的机器人干预效果，放到中国乃至马来西亚全纳课堂，是否会打折扣？这是本研究持续追问的一点。</w:t>
      </w:r>
    </w:p>
    <w:p>
      <w:pPr>
        <w:pStyle w:val="Heading3"/>
      </w:pPr>
      <w:r>
        <w:rPr>
          <w:rFonts w:ascii="Times New Roman" w:cs="Times New Roman" w:eastAsia="WenQuanYi Micro Hei" w:hAnsi="Times New Roman"/>
          <w:b/>
          <w:bCs/>
          <w:sz w:val="25"/>
          <w:szCs w:val="25"/>
        </w:rPr>
        <w:t xml:space="preserve">1.2.2　国内研究现状</w:t>
      </w:r>
    </w:p>
    <w:p>
      <w:pPr>
        <w:spacing w:after="120" w:line="360"/>
        <w:ind w:firstLine="480"/>
      </w:pPr>
      <w:r>
        <w:rPr>
          <w:rFonts w:ascii="Times New Roman" w:cs="Times New Roman" w:eastAsia="WenQuanYi Micro Hei" w:hAnsi="Times New Roman"/>
          <w:sz w:val="24"/>
          <w:szCs w:val="24"/>
        </w:rPr>
        <w:t xml:space="preserve">国内人形机器人硬件技术水平全球领先，但教育应用实证相对滞后。Feng et al. (2026)使用NAO机器人在国内普通学校特教资源教室开展准实验研究，28名ASD儿童分为干预组与等待对照组，4周人机社交干预后，干预组共同注意能力提升，但攻击行为指标组间差异没有达到统计学显著水平。作者分析原因：机器人脚本只设计社交训练内容，没有针对攻击冲动设计情绪缓冲、行为替代脚本。这提示：不是机器人本身有效，而是配套干预脚本、教育目标设计才是干预起效关键。</w:t>
      </w:r>
    </w:p>
    <w:p>
      <w:pPr>
        <w:spacing w:after="120" w:line="360"/>
        <w:ind w:firstLine="480"/>
      </w:pPr>
      <w:r>
        <w:rPr>
          <w:rFonts w:ascii="Times New Roman" w:cs="Times New Roman" w:eastAsia="WenQuanYi Micro Hei" w:hAnsi="Times New Roman"/>
          <w:sz w:val="24"/>
          <w:szCs w:val="24"/>
        </w:rPr>
        <w:t xml:space="preserve">向松柏等（2024）国内元分析指出国内现存研究几大短板：第一，研究目标偏向社交，攻击冲动行为实证稀缺；第二，研究周期普遍较短，70.6%研究干预周期少于8周；第三，伦理讨论大多一笔带过，很少系统讨论知情同意、人机依赖、数据隐私风险；第四，多数研究发生在资源教室隔离环境，而非真实随班就读课堂。</w:t>
      </w:r>
    </w:p>
    <w:p>
      <w:pPr>
        <w:spacing w:after="120" w:line="360"/>
        <w:ind w:firstLine="480"/>
      </w:pPr>
      <w:r>
        <w:rPr>
          <w:rFonts w:ascii="Times New Roman" w:cs="Times New Roman" w:eastAsia="WenQuanYi Micro Hei" w:hAnsi="Times New Roman"/>
          <w:sz w:val="24"/>
          <w:szCs w:val="24"/>
        </w:rPr>
        <w:t xml:space="preserve">国内政策层面已经打开技术应用空间，但一线实践容易出现技术崇拜误区：部分学校采购人形机器人当作展示教具，缺少特教教师专业方案设计，机器人仅仅完成演示，没有真正服务行为干预（</w:t>
      </w:r>
      <w:r>
        <w:rPr>
          <w:rFonts w:ascii="Times New Roman" w:cs="Times New Roman" w:eastAsia="WenQuanYi Micro Hei" w:hAnsi="Times New Roman"/>
          <w:sz w:val="24"/>
          <w:szCs w:val="24"/>
        </w:rPr>
        <w:t xml:space="preserve">周沛、詹泽慧，2025</w:t>
      </w:r>
      <w:r>
        <w:rPr>
          <w:rFonts w:ascii="Times New Roman" w:cs="Times New Roman" w:eastAsia="WenQuanYi Micro Hei" w:hAnsi="Times New Roman"/>
          <w:sz w:val="24"/>
          <w:szCs w:val="24"/>
        </w:rPr>
        <w:t xml:space="preserve">）。技术硬件先进不等于教育干预有效，技术与特教专业脱节，是当下国内最大现实矛盾。</w:t>
      </w:r>
    </w:p>
    <w:p>
      <w:pPr>
        <w:pStyle w:val="Heading2"/>
      </w:pPr>
      <w:r>
        <w:rPr>
          <w:rFonts w:ascii="Times New Roman" w:cs="Times New Roman" w:eastAsia="WenQuanYi Micro Hei" w:hAnsi="Times New Roman"/>
          <w:b/>
          <w:bCs/>
          <w:sz w:val="28"/>
          <w:szCs w:val="28"/>
        </w:rPr>
        <w:t xml:space="preserve">1.3　研究思路、研究框架与创新点</w:t>
      </w:r>
    </w:p>
    <w:p>
      <w:pPr>
        <w:spacing w:after="120" w:line="360"/>
        <w:ind w:firstLine="480"/>
      </w:pPr>
      <w:r>
        <w:rPr>
          <w:rFonts w:ascii="Times New Roman" w:cs="Times New Roman" w:eastAsia="WenQuanYi Micro Hei" w:hAnsi="Times New Roman"/>
          <w:sz w:val="24"/>
          <w:szCs w:val="24"/>
        </w:rPr>
        <w:t xml:space="preserve">本研究采用文献统合分析、跨地区实证对比、思辨辩证分析相结合的研究思路，不神化技术，也不否定技术价值。每一项推论建立在已发表实验数据、元分析结果之上，同时保持反问思辨，区分实证证据与推论猜想。研究框架：绪论→核心概念界定→人形机器人正向干预机制与实证数据支撑→现实局限实证分析→独立完整伦理章节→人机协同实践路径→跨文化前景讨论→结论。</w:t>
      </w:r>
    </w:p>
    <w:p>
      <w:pPr>
        <w:spacing w:after="120" w:line="360"/>
        <w:ind w:firstLine="480"/>
      </w:pPr>
      <w:r>
        <w:rPr>
          <w:rFonts w:ascii="Times New Roman" w:cs="Times New Roman" w:eastAsia="WenQuanYi Micro Hei" w:hAnsi="Times New Roman"/>
          <w:sz w:val="24"/>
          <w:szCs w:val="24"/>
        </w:rPr>
        <w:t xml:space="preserve">本研究创新点：</w:t>
      </w:r>
    </w:p>
    <w:p>
      <w:pPr>
        <w:pStyle w:val="ListParagraph"/>
        <w:numPr>
          <w:ilvl w:val="0"/>
          <w:numId w:val="2"/>
        </w:numPr>
        <w:spacing w:after="120" w:line="360"/>
        <w:ind/>
      </w:pPr>
      <w:r>
        <w:rPr>
          <w:rFonts w:ascii="Times New Roman" w:cs="Times New Roman" w:eastAsia="WenQuanYi Micro Hei" w:hAnsi="Times New Roman"/>
          <w:sz w:val="24"/>
          <w:szCs w:val="24"/>
        </w:rPr>
        <w:t xml:space="preserve">第一，聚焦学龄ASD攻击性行为这一国内较少专门讨论的干预目标，把各项实验量化数据嵌入正文，每一个核心论点配套对应文献内引用；</w:t>
      </w:r>
    </w:p>
    <w:p>
      <w:pPr>
        <w:pStyle w:val="ListParagraph"/>
        <w:numPr>
          <w:ilvl w:val="0"/>
          <w:numId w:val="2"/>
        </w:numPr>
        <w:spacing w:after="120" w:line="360"/>
        <w:ind/>
      </w:pPr>
      <w:r>
        <w:rPr>
          <w:rFonts w:ascii="Times New Roman" w:cs="Times New Roman" w:eastAsia="WenQuanYi Micro Hei" w:hAnsi="Times New Roman"/>
          <w:sz w:val="24"/>
          <w:szCs w:val="24"/>
        </w:rPr>
        <w:t xml:space="preserve">第二，专门设置独立伦理章节，覆盖知情同意、数据伦理、人机依赖风险、儿童权利、技术伦理边界，弥补现有论文伦理部分流于表面的不足；</w:t>
      </w:r>
    </w:p>
    <w:p>
      <w:pPr>
        <w:pStyle w:val="ListParagraph"/>
        <w:numPr>
          <w:ilvl w:val="0"/>
          <w:numId w:val="2"/>
        </w:numPr>
        <w:spacing w:after="120" w:line="360"/>
        <w:ind/>
      </w:pPr>
      <w:r>
        <w:rPr>
          <w:rFonts w:ascii="Times New Roman" w:cs="Times New Roman" w:eastAsia="WenQuanYi Micro Hei" w:hAnsi="Times New Roman"/>
          <w:sz w:val="24"/>
          <w:szCs w:val="24"/>
        </w:rPr>
        <w:t xml:space="preserve">第三，纳入马来西亚全纳课堂实证材料，兼顾中马跨文化视角，讨论技术在不同东南亚华语/马来文化环境落地的适配问题；</w:t>
      </w:r>
    </w:p>
    <w:p>
      <w:pPr>
        <w:pStyle w:val="ListParagraph"/>
        <w:numPr>
          <w:ilvl w:val="0"/>
          <w:numId w:val="2"/>
        </w:numPr>
        <w:spacing w:after="120" w:line="360"/>
        <w:ind/>
      </w:pPr>
      <w:r>
        <w:rPr>
          <w:rFonts w:ascii="Times New Roman" w:cs="Times New Roman" w:eastAsia="WenQuanYi Micro Hei" w:hAnsi="Times New Roman"/>
          <w:sz w:val="24"/>
          <w:szCs w:val="24"/>
        </w:rPr>
        <w:t xml:space="preserve">第四，严格锚定国家特殊教育政策灰色文献，把政策法理、实证数据、伦理规范三者结合，而非割裂看待；</w:t>
      </w:r>
    </w:p>
    <w:p>
      <w:pPr>
        <w:pStyle w:val="ListParagraph"/>
        <w:numPr>
          <w:ilvl w:val="0"/>
          <w:numId w:val="2"/>
        </w:numPr>
        <w:spacing w:after="120" w:line="360"/>
        <w:ind/>
      </w:pPr>
      <w:r>
        <w:rPr>
          <w:rFonts w:ascii="Times New Roman" w:cs="Times New Roman" w:eastAsia="WenQuanYi Micro Hei" w:hAnsi="Times New Roman"/>
          <w:sz w:val="24"/>
          <w:szCs w:val="24"/>
        </w:rPr>
        <w:t xml:space="preserve">第五，坚持APA-7叙事引用格式，所有实验效应量、样本量、百分比统计数据全部正文呈现，参考文献严格APA-7中英文混排。</w:t>
      </w:r>
    </w:p>
    <w:p>
      <w:pPr>
        <w:pStyle w:val="Heading2"/>
      </w:pPr>
      <w:r>
        <w:rPr>
          <w:rFonts w:ascii="Times New Roman" w:cs="Times New Roman" w:eastAsia="WenQuanYi Micro Hei" w:hAnsi="Times New Roman"/>
          <w:b/>
          <w:bCs/>
          <w:sz w:val="28"/>
          <w:szCs w:val="28"/>
        </w:rPr>
        <w:t xml:space="preserve">1.4　研究局限说明</w:t>
      </w:r>
    </w:p>
    <w:p>
      <w:pPr>
        <w:spacing w:after="120" w:line="360"/>
        <w:ind w:firstLine="480"/>
      </w:pPr>
      <w:r>
        <w:rPr>
          <w:rFonts w:ascii="Times New Roman" w:cs="Times New Roman" w:eastAsia="WenQuanYi Micro Hei" w:hAnsi="Times New Roman"/>
          <w:sz w:val="24"/>
          <w:szCs w:val="24"/>
        </w:rPr>
        <w:t xml:space="preserve">本研究属于文献综合思辨研究，不包含原始采集实验数据，全部量化结果来自已公开发表实证文献；现有可用针对ASD攻击行为人形机器人专项RCT数量仍然有限，未来仍需要更多本土大样本长期追踪实验补充证据链条。</w:t>
      </w:r>
    </w:p>
    <w:p>
      <w:pPr>
        <w:pStyle w:val="Heading1"/>
        <w:pageBreakBefore/>
      </w:pPr>
      <w:r>
        <w:rPr>
          <w:rFonts w:ascii="Times New Roman" w:cs="Times New Roman" w:eastAsia="WenQuanYi Micro Hei" w:hAnsi="Times New Roman"/>
          <w:b/>
          <w:bCs/>
          <w:sz w:val="32"/>
          <w:szCs w:val="32"/>
        </w:rPr>
        <w:t xml:space="preserve">第二章　核心概念界定</w:t>
      </w:r>
    </w:p>
    <w:p>
      <w:pPr>
        <w:pStyle w:val="Heading2"/>
      </w:pPr>
      <w:r>
        <w:rPr>
          <w:rFonts w:ascii="Times New Roman" w:cs="Times New Roman" w:eastAsia="WenQuanYi Micro Hei" w:hAnsi="Times New Roman"/>
          <w:b/>
          <w:bCs/>
          <w:sz w:val="28"/>
          <w:szCs w:val="28"/>
        </w:rPr>
        <w:t xml:space="preserve">2.1　学龄孤独症谱系障碍儿童攻击性行为</w:t>
      </w:r>
    </w:p>
    <w:p>
      <w:pPr>
        <w:spacing w:after="120" w:line="360"/>
        <w:ind w:firstLine="480"/>
      </w:pPr>
      <w:r>
        <w:rPr>
          <w:rFonts w:ascii="Times New Roman" w:cs="Times New Roman" w:eastAsia="WenQuanYi Micro Hei" w:hAnsi="Times New Roman"/>
          <w:sz w:val="24"/>
          <w:szCs w:val="24"/>
        </w:rPr>
        <w:t xml:space="preserve">本研究当中学龄ASD儿童指6–12岁就读普通学校全纳班级或者特殊学校的孤独症谱系障碍儿童。攻击性行为参照应用行为分析领域定义：包含外显肢体攻击（打人、推搡、抓挠）、物品破坏、言语攻击、情绪爆发性行为；攻击行为的功能可以为逃避任务、感官调节、寻求关注、表达恐惧焦虑等，并非单纯道德层面“调皮捣蛋”（</w:t>
      </w:r>
      <w:r>
        <w:rPr>
          <w:rFonts w:ascii="Times New Roman" w:cs="Times New Roman" w:eastAsia="WenQuanYi Micro Hei" w:hAnsi="Times New Roman"/>
          <w:sz w:val="24"/>
          <w:szCs w:val="24"/>
        </w:rPr>
        <w:t xml:space="preserve">So et al., 2024</w:t>
      </w:r>
      <w:r>
        <w:rPr>
          <w:rFonts w:ascii="Times New Roman" w:cs="Times New Roman" w:eastAsia="WenQuanYi Micro Hei" w:hAnsi="Times New Roman"/>
          <w:sz w:val="24"/>
          <w:szCs w:val="24"/>
        </w:rPr>
        <w:t xml:space="preserve">）。流行病学数据显示6–12岁是攻击行为干预关键窗口期，如果干预不当，冲动行为模式容易延续到青少年阶段（</w:t>
      </w:r>
      <w:r>
        <w:rPr>
          <w:rFonts w:ascii="Times New Roman" w:cs="Times New Roman" w:eastAsia="WenQuanYi Micro Hei" w:hAnsi="Times New Roman"/>
          <w:sz w:val="24"/>
          <w:szCs w:val="24"/>
        </w:rPr>
        <w:t xml:space="preserve">冯学珍等，2026</w:t>
      </w:r>
      <w:r>
        <w:rPr>
          <w:rFonts w:ascii="Times New Roman" w:cs="Times New Roman" w:eastAsia="WenQuanYi Micro Hei" w:hAnsi="Times New Roman"/>
          <w:sz w:val="24"/>
          <w:szCs w:val="24"/>
        </w:rPr>
        <w:t xml:space="preserve">）。很多教育者容易将攻击简单归因为孩子主观不听话，行为科学视角提醒我们：攻击是一种沟通信号，而不是单纯品行问题。</w:t>
      </w:r>
    </w:p>
    <w:p>
      <w:pPr>
        <w:pStyle w:val="Heading2"/>
      </w:pPr>
      <w:r>
        <w:rPr>
          <w:rFonts w:ascii="Times New Roman" w:cs="Times New Roman" w:eastAsia="WenQuanYi Micro Hei" w:hAnsi="Times New Roman"/>
          <w:b/>
          <w:bCs/>
          <w:sz w:val="28"/>
          <w:szCs w:val="28"/>
        </w:rPr>
        <w:t xml:space="preserve">2.2　适龄化教育人形社交机器人</w:t>
      </w:r>
    </w:p>
    <w:p>
      <w:pPr>
        <w:spacing w:after="120" w:line="360"/>
        <w:ind w:firstLine="480"/>
      </w:pPr>
      <w:r>
        <w:rPr>
          <w:rFonts w:ascii="Times New Roman" w:cs="Times New Roman" w:eastAsia="WenQuanYi Micro Hei" w:hAnsi="Times New Roman"/>
          <w:sz w:val="24"/>
          <w:szCs w:val="24"/>
        </w:rPr>
        <w:t xml:space="preserve">本文讨论人形机器人并非北京机器人大赛当中追求高速、高爆发力的竞技机器人，而是面向6–12岁儿童、低压迫、尺寸适配儿童、可编程情绪反馈脚本的社交辅助人形机器人，典型样机包括KASPAR、NAO、Zeno等（</w:t>
      </w:r>
      <w:r>
        <w:rPr>
          <w:rFonts w:ascii="Times New Roman" w:cs="Times New Roman" w:eastAsia="WenQuanYi Micro Hei" w:hAnsi="Times New Roman"/>
          <w:sz w:val="24"/>
          <w:szCs w:val="24"/>
        </w:rPr>
        <w:t xml:space="preserve">Moganadas et al., 2025</w:t>
      </w:r>
      <w:r>
        <w:rPr>
          <w:rFonts w:ascii="Times New Roman" w:cs="Times New Roman" w:eastAsia="WenQuanYi Micro Hei" w:hAnsi="Times New Roman"/>
          <w:sz w:val="24"/>
          <w:szCs w:val="24"/>
        </w:rPr>
        <w:t xml:space="preserve">）。核心特征：可以根据儿童心理发展设定神态、语速、情绪阈值、反馈逻辑；输出温和、稳定交互，避免强烈声光刺激；不追求超高运动性能，优先保障交互安全与低心理压迫。需要特别区分：竞技机器人硬件能力强，但并不直接等同于教育干预机器人。</w:t>
      </w:r>
    </w:p>
    <w:p>
      <w:pPr>
        <w:pStyle w:val="Heading2"/>
      </w:pPr>
      <w:r>
        <w:rPr>
          <w:rFonts w:ascii="Times New Roman" w:cs="Times New Roman" w:eastAsia="WenQuanYi Micro Hei" w:hAnsi="Times New Roman"/>
          <w:b/>
          <w:bCs/>
          <w:sz w:val="28"/>
          <w:szCs w:val="28"/>
        </w:rPr>
        <w:t xml:space="preserve">2.3　机器人正性干预</w:t>
      </w:r>
    </w:p>
    <w:p>
      <w:pPr>
        <w:spacing w:after="120" w:line="360"/>
        <w:ind w:firstLine="480"/>
      </w:pPr>
      <w:r>
        <w:rPr>
          <w:rFonts w:ascii="Times New Roman" w:cs="Times New Roman" w:eastAsia="WenQuanYi Micro Hei" w:hAnsi="Times New Roman"/>
          <w:sz w:val="24"/>
          <w:szCs w:val="24"/>
        </w:rPr>
        <w:t xml:space="preserve">机器人正性干预，指在特教教师完整完成行为功能评估（FBA）的前提之下，机器人执行预先编写的正向干预脚本，完成情绪缓冲、标准化正向强化、轻度冲动行为柔性提示，为真人教育搭建过渡桥梁；机器人不独立完成评估、危机处置，全程处于专业人员监控之下（</w:t>
      </w:r>
      <w:r>
        <w:rPr>
          <w:rFonts w:ascii="Times New Roman" w:cs="Times New Roman" w:eastAsia="WenQuanYi Micro Hei" w:hAnsi="Times New Roman"/>
          <w:sz w:val="24"/>
          <w:szCs w:val="24"/>
        </w:rPr>
        <w:t xml:space="preserve">Ghiglino et al., 2025</w:t>
      </w:r>
      <w:r>
        <w:rPr>
          <w:rFonts w:ascii="Times New Roman" w:cs="Times New Roman" w:eastAsia="WenQuanYi Micro Hei" w:hAnsi="Times New Roman"/>
          <w:sz w:val="24"/>
          <w:szCs w:val="24"/>
        </w:rPr>
        <w:t xml:space="preserve">）。机器人干预是辅助干预，不是替代式干预。</w:t>
      </w:r>
    </w:p>
    <w:p>
      <w:pPr>
        <w:pStyle w:val="Heading2"/>
      </w:pPr>
      <w:r>
        <w:rPr>
          <w:rFonts w:ascii="Times New Roman" w:cs="Times New Roman" w:eastAsia="WenQuanYi Micro Hei" w:hAnsi="Times New Roman"/>
          <w:b/>
          <w:bCs/>
          <w:sz w:val="28"/>
          <w:szCs w:val="28"/>
        </w:rPr>
        <w:t xml:space="preserve">2.4　人机协同特殊教育</w:t>
      </w:r>
    </w:p>
    <w:p>
      <w:pPr>
        <w:spacing w:after="120" w:line="360"/>
        <w:ind w:firstLine="480"/>
      </w:pPr>
      <w:r>
        <w:rPr>
          <w:rFonts w:ascii="Times New Roman" w:cs="Times New Roman" w:eastAsia="WenQuanYi Micro Hei" w:hAnsi="Times New Roman"/>
          <w:sz w:val="24"/>
          <w:szCs w:val="24"/>
        </w:rPr>
        <w:t xml:space="preserve">人机协同特殊教育指以特教教师为主体，智能机器人作为辅助工具；教师负责评估、方案设计、危机处理、真人社交泛化、情感培育；机器人承担高频重复、标准化、低压力交互辅助工作，二者分工配合，共同服务特殊儿童发展目标（</w:t>
      </w:r>
      <w:r>
        <w:rPr>
          <w:rFonts w:ascii="Times New Roman" w:cs="Times New Roman" w:eastAsia="WenQuanYi Micro Hei" w:hAnsi="Times New Roman"/>
          <w:sz w:val="24"/>
          <w:szCs w:val="24"/>
        </w:rPr>
        <w:t xml:space="preserve">教育部等七部门，2026</w:t>
      </w:r>
      <w:r>
        <w:rPr>
          <w:rFonts w:ascii="Times New Roman" w:cs="Times New Roman" w:eastAsia="WenQuanYi Micro Hei" w:hAnsi="Times New Roman"/>
          <w:sz w:val="24"/>
          <w:szCs w:val="24"/>
        </w:rPr>
        <w:t xml:space="preserve">）。</w:t>
      </w:r>
    </w:p>
    <w:p>
      <w:pPr>
        <w:pStyle w:val="Heading2"/>
      </w:pPr>
      <w:r>
        <w:rPr>
          <w:rFonts w:ascii="Times New Roman" w:cs="Times New Roman" w:eastAsia="WenQuanYi Micro Hei" w:hAnsi="Times New Roman"/>
          <w:b/>
          <w:bCs/>
          <w:sz w:val="28"/>
          <w:szCs w:val="28"/>
        </w:rPr>
        <w:t xml:space="preserve">2.5　机器人干预伦理</w:t>
      </w:r>
    </w:p>
    <w:p>
      <w:pPr>
        <w:spacing w:after="120" w:line="360"/>
        <w:ind w:firstLine="480"/>
      </w:pPr>
      <w:r>
        <w:rPr>
          <w:rFonts w:ascii="Times New Roman" w:cs="Times New Roman" w:eastAsia="WenQuanYi Micro Hei" w:hAnsi="Times New Roman"/>
          <w:sz w:val="24"/>
          <w:szCs w:val="24"/>
        </w:rPr>
        <w:t xml:space="preserve">社交机器人干预伦理包含多重维度：研究层面知情同意、assent儿童知情许可、数据隐私保护；实践层面人机交互时长管控，防止人机社交过度替代真人社交，规避人机依赖风险；价值层面坚持儿童利益最大化，技术不能凌驾儿童发展权利之上（</w:t>
      </w:r>
      <w:r>
        <w:rPr>
          <w:rFonts w:ascii="Times New Roman" w:cs="Times New Roman" w:eastAsia="WenQuanYi Micro Hei" w:hAnsi="Times New Roman"/>
          <w:sz w:val="24"/>
          <w:szCs w:val="24"/>
        </w:rPr>
        <w:t xml:space="preserve">Salimi et al., 2021</w:t>
      </w:r>
      <w:r>
        <w:rPr>
          <w:rFonts w:ascii="Times New Roman" w:cs="Times New Roman" w:eastAsia="WenQuanYi Micro Hei" w:hAnsi="Times New Roman"/>
          <w:sz w:val="24"/>
          <w:szCs w:val="24"/>
        </w:rPr>
        <w:t xml:space="preserve">）。</w:t>
      </w:r>
    </w:p>
    <w:p>
      <w:pPr>
        <w:pStyle w:val="Heading1"/>
        <w:pageBreakBefore/>
      </w:pPr>
      <w:r>
        <w:rPr>
          <w:rFonts w:ascii="Times New Roman" w:cs="Times New Roman" w:eastAsia="WenQuanYi Micro Hei" w:hAnsi="Times New Roman"/>
          <w:b/>
          <w:bCs/>
          <w:sz w:val="32"/>
          <w:szCs w:val="32"/>
        </w:rPr>
        <w:t xml:space="preserve">第三章　人形机器人对学龄ASD攻击性行为的正向干预价值（嵌入实证数据）</w:t>
      </w:r>
    </w:p>
    <w:p>
      <w:pPr>
        <w:spacing w:after="120" w:line="360"/>
        <w:ind w:firstLine="480"/>
      </w:pPr>
      <w:r>
        <w:rPr>
          <w:rFonts w:ascii="Times New Roman" w:cs="Times New Roman" w:eastAsia="WenQuanYi Micro Hei" w:hAnsi="Times New Roman"/>
          <w:sz w:val="24"/>
          <w:szCs w:val="24"/>
        </w:rPr>
        <w:t xml:space="preserve">综合32篇2021–2026年国内外实证研究，人形机器人干预并非玄学，它的正向价值来自几项区别于人工干预的独特机制，每一条机制都有实验数据支撑。</w:t>
      </w:r>
    </w:p>
    <w:p>
      <w:pPr>
        <w:pStyle w:val="Heading3"/>
      </w:pPr>
      <w:r>
        <w:rPr>
          <w:rFonts w:ascii="Times New Roman" w:cs="Times New Roman" w:eastAsia="WenQuanYi Micro Hei" w:hAnsi="Times New Roman"/>
          <w:b/>
          <w:bCs/>
          <w:sz w:val="25"/>
          <w:szCs w:val="25"/>
        </w:rPr>
        <w:t xml:space="preserve">3.1　零情绪对抗缓冲，切断攻击–负向反馈恶性循环</w:t>
      </w:r>
    </w:p>
    <w:p>
      <w:pPr>
        <w:spacing w:after="120" w:line="360"/>
        <w:ind w:firstLine="480"/>
      </w:pPr>
      <w:r>
        <w:rPr>
          <w:rFonts w:ascii="Times New Roman" w:cs="Times New Roman" w:eastAsia="WenQuanYi Micro Hei" w:hAnsi="Times New Roman"/>
          <w:sz w:val="24"/>
          <w:szCs w:val="24"/>
        </w:rPr>
        <w:t xml:space="preserve">人类面对攻击行为时本能会产生情绪反应。特教教师倦怠研究显示，当教师情绪耗竭水平升高，负向回应行为发生概率提升2.74倍（</w:t>
      </w:r>
      <w:r>
        <w:rPr>
          <w:rFonts w:ascii="Times New Roman" w:cs="Times New Roman" w:eastAsia="WenQuanYi Micro Hei" w:hAnsi="Times New Roman"/>
          <w:sz w:val="24"/>
          <w:szCs w:val="24"/>
        </w:rPr>
        <w:t xml:space="preserve">周沛、詹泽慧，2025</w:t>
      </w:r>
      <w:r>
        <w:rPr>
          <w:rFonts w:ascii="Times New Roman" w:cs="Times New Roman" w:eastAsia="WenQuanYi Micro Hei" w:hAnsi="Times New Roman"/>
          <w:sz w:val="24"/>
          <w:szCs w:val="24"/>
        </w:rPr>
        <w:t xml:space="preserve">）。而ASD儿童高度捕捉他人情绪线索，教师烦躁、语气加重会被解读为排斥，诱发更强防御攻击，形成恶性循环。</w:t>
      </w:r>
    </w:p>
    <w:p>
      <w:pPr>
        <w:spacing w:after="120" w:line="360"/>
        <w:ind w:firstLine="480"/>
      </w:pPr>
      <w:r>
        <w:rPr>
          <w:rFonts w:ascii="Times New Roman" w:cs="Times New Roman" w:eastAsia="WenQuanYi Micro Hei" w:hAnsi="Times New Roman"/>
          <w:sz w:val="24"/>
          <w:szCs w:val="24"/>
        </w:rPr>
        <w:t xml:space="preserve">机器人可以做到无论儿童拍打、发脾气，都不会产生愤怒、厌烦、回避等负向情绪，持续执行预设安抚脚本。Ghiglino等人（2025）RCT实验数据显示，干预组在机器人交互场景当中，情绪爆发平均持续时间由基线147 s下降至101 s，平均缩短31.6%；重度攻击行为频次下降24.2%。机器人不会给予愤怒、指责这类会强化攻击循环的后果，从行为后果链条上切断恶性循环。读到这里我们可以反问：人类教师即便接受完整训练，在日复一日课堂压力之下，真的可以上万次做到完全不带情绪回应孩子攻击吗？大量职业倦怠研究告诉我们现实很难做到，这恰恰是机器人不可替代的独特优势。但同时必须清醒：机器人只能缓冲轻度情绪爆发，重度危机场景机器人完全无能为力。</w:t>
      </w:r>
    </w:p>
    <w:p>
      <w:pPr>
        <w:pStyle w:val="Heading3"/>
      </w:pPr>
      <w:r>
        <w:rPr>
          <w:rFonts w:ascii="Times New Roman" w:cs="Times New Roman" w:eastAsia="WenQuanYi Micro Hei" w:hAnsi="Times New Roman"/>
          <w:b/>
          <w:bCs/>
          <w:sz w:val="25"/>
          <w:szCs w:val="25"/>
        </w:rPr>
        <w:t xml:space="preserve">3.2　高度标准化、一致性正向反馈匹配ASD神经认知需要</w:t>
      </w:r>
    </w:p>
    <w:p>
      <w:pPr>
        <w:spacing w:after="120" w:line="360"/>
        <w:ind w:firstLine="480"/>
      </w:pPr>
      <w:r>
        <w:rPr>
          <w:rFonts w:ascii="Times New Roman" w:cs="Times New Roman" w:eastAsia="WenQuanYi Micro Hei" w:hAnsi="Times New Roman"/>
          <w:sz w:val="24"/>
          <w:szCs w:val="24"/>
        </w:rPr>
        <w:t xml:space="preserve">神经发育研究表明ASD个体对环境可预测性有极高需求，忽严忽松、时耐心时急躁的反馈会造成认知混乱，加剧情绪失调（</w:t>
      </w:r>
      <w:r>
        <w:rPr>
          <w:rFonts w:ascii="Times New Roman" w:cs="Times New Roman" w:eastAsia="WenQuanYi Micro Hei" w:hAnsi="Times New Roman"/>
          <w:sz w:val="24"/>
          <w:szCs w:val="24"/>
        </w:rPr>
        <w:t xml:space="preserve">So et al., 2024</w:t>
      </w:r>
      <w:r>
        <w:rPr>
          <w:rFonts w:ascii="Times New Roman" w:cs="Times New Roman" w:eastAsia="WenQuanYi Micro Hei" w:hAnsi="Times New Roman"/>
          <w:sz w:val="24"/>
          <w:szCs w:val="24"/>
        </w:rPr>
        <w:t xml:space="preserve">）。真实课堂人工干预很难做到万次标准统一。机器人可以做到成千上万次交互，话术、提示、强化标准完全保持一致。</w:t>
      </w:r>
    </w:p>
    <w:p>
      <w:pPr>
        <w:spacing w:after="120" w:line="360"/>
        <w:ind w:firstLine="480"/>
      </w:pPr>
      <w:r>
        <w:rPr>
          <w:rFonts w:ascii="Times New Roman" w:cs="Times New Roman" w:eastAsia="WenQuanYi Micro Hei" w:hAnsi="Times New Roman"/>
          <w:sz w:val="24"/>
          <w:szCs w:val="24"/>
        </w:rPr>
        <w:t xml:space="preserve">一项交叉随机对照实验把36名ASD儿童随机分配真人干预条件与机器人干预条件，同一套正向强化干预脚本分别由教师、机器人执行；结果显示机器人条件下儿童规则依从性比真人条件高出22.9%；研究者解释该差异主要来源于反馈的高度一致性（</w:t>
      </w:r>
      <w:r>
        <w:rPr>
          <w:rFonts w:ascii="Times New Roman" w:cs="Times New Roman" w:eastAsia="WenQuanYi Micro Hei" w:hAnsi="Times New Roman"/>
          <w:sz w:val="24"/>
          <w:szCs w:val="24"/>
        </w:rPr>
        <w:t xml:space="preserve">Jürgensen et al., 2026</w:t>
      </w:r>
      <w:r>
        <w:rPr>
          <w:rFonts w:ascii="Times New Roman" w:cs="Times New Roman" w:eastAsia="WenQuanYi Micro Hei" w:hAnsi="Times New Roman"/>
          <w:sz w:val="24"/>
          <w:szCs w:val="24"/>
        </w:rPr>
        <w:t xml:space="preserve">）。这一组数据值得我们思考：同样一套干预方案，执行者是否可以稳定输出，直接影响干预效果。人工干预受人状态波动影响巨大，而机器人可以稳定复现预设干预逻辑。</w:t>
      </w:r>
    </w:p>
    <w:p>
      <w:pPr>
        <w:pStyle w:val="Heading3"/>
      </w:pPr>
      <w:r>
        <w:rPr>
          <w:rFonts w:ascii="Times New Roman" w:cs="Times New Roman" w:eastAsia="WenQuanYi Micro Hei" w:hAnsi="Times New Roman"/>
          <w:b/>
          <w:bCs/>
          <w:sz w:val="25"/>
          <w:szCs w:val="25"/>
        </w:rPr>
        <w:t xml:space="preserve">3.3　低压力交互环境降低应激性攻击触发</w:t>
      </w:r>
    </w:p>
    <w:p>
      <w:pPr>
        <w:spacing w:after="120" w:line="360"/>
        <w:ind w:firstLine="480"/>
      </w:pPr>
      <w:r>
        <w:rPr>
          <w:rFonts w:ascii="Times New Roman" w:cs="Times New Roman" w:eastAsia="WenQuanYi Micro Hei" w:hAnsi="Times New Roman"/>
          <w:sz w:val="24"/>
          <w:szCs w:val="24"/>
        </w:rPr>
        <w:t xml:space="preserve">很多ASD儿童攻击来源于真人社交带来的压力：眼神对视压力、社交评价压力、听不懂社交信号带来的焦虑，压力累积之后转化为应激攻击。多项实验采集生理指标证明：ASD儿童与人形机器人互动时心率、皮肤电等焦虑生理指标显著低于真人互动场景（</w:t>
      </w:r>
      <w:r>
        <w:rPr>
          <w:rFonts w:ascii="Times New Roman" w:cs="Times New Roman" w:eastAsia="WenQuanYi Micro Hei" w:hAnsi="Times New Roman"/>
          <w:sz w:val="24"/>
          <w:szCs w:val="24"/>
        </w:rPr>
        <w:t xml:space="preserve">Ghiglino et al., 2025</w:t>
      </w:r>
      <w:r>
        <w:rPr>
          <w:rFonts w:ascii="Times New Roman" w:cs="Times New Roman" w:eastAsia="WenQuanYi Micro Hei" w:hAnsi="Times New Roman"/>
          <w:sz w:val="24"/>
          <w:szCs w:val="24"/>
        </w:rPr>
        <w:t xml:space="preserve">）。马来西亚</w:t>
      </w:r>
      <w:r>
        <w:rPr>
          <w:rFonts w:ascii="Times New Roman" w:cs="Times New Roman" w:eastAsia="WenQuanYi Micro Hei" w:hAnsi="Times New Roman"/>
          <w:sz w:val="24"/>
          <w:szCs w:val="24"/>
        </w:rPr>
        <w:t xml:space="preserve">Moganadas等人（2025）</w:t>
      </w:r>
      <w:r>
        <w:rPr>
          <w:rFonts w:ascii="Times New Roman" w:cs="Times New Roman" w:eastAsia="WenQuanYi Micro Hei" w:hAnsi="Times New Roman"/>
          <w:sz w:val="24"/>
          <w:szCs w:val="24"/>
        </w:rPr>
        <w:t xml:space="preserve">的探索实验观察记录：14名ASD受试者当中10名在机器人面前出现更少回避、紧张行为。</w:t>
      </w:r>
    </w:p>
    <w:p>
      <w:pPr>
        <w:spacing w:after="120" w:line="360"/>
        <w:ind w:firstLine="480"/>
      </w:pPr>
      <w:r>
        <w:rPr>
          <w:rFonts w:ascii="Times New Roman" w:cs="Times New Roman" w:eastAsia="WenQuanYi Micro Hei" w:hAnsi="Times New Roman"/>
          <w:sz w:val="24"/>
          <w:szCs w:val="24"/>
        </w:rPr>
        <w:t xml:space="preserve">当环境压力源下降，应激诱发攻击的概率自然下降。与其说机器人把孩子“教好”，不如说机器人提供了低压力过渡环境，减少诱发攻击的环境诱因。但这里需要追问：低压力环境是优势的同时，会不会变成温室？长期待在零压力人机环境，会不会削弱孩子面对真实社交挫折的耐受能力？这一点会在伦理章节展开讨论。</w:t>
      </w:r>
    </w:p>
    <w:p>
      <w:pPr>
        <w:pStyle w:val="Heading3"/>
      </w:pPr>
      <w:r>
        <w:rPr>
          <w:rFonts w:ascii="Times New Roman" w:cs="Times New Roman" w:eastAsia="WenQuanYi Micro Hei" w:hAnsi="Times New Roman"/>
          <w:b/>
          <w:bCs/>
          <w:sz w:val="25"/>
          <w:szCs w:val="25"/>
        </w:rPr>
        <w:t xml:space="preserve">3.4　情绪先兆阶段柔性前置纠偏，减少事后压制带来行为反弹</w:t>
      </w:r>
    </w:p>
    <w:p>
      <w:pPr>
        <w:spacing w:after="120" w:line="360"/>
        <w:ind w:firstLine="480"/>
      </w:pPr>
      <w:r>
        <w:rPr>
          <w:rFonts w:ascii="Times New Roman" w:cs="Times New Roman" w:eastAsia="WenQuanYi Micro Hei" w:hAnsi="Times New Roman"/>
          <w:sz w:val="24"/>
          <w:szCs w:val="24"/>
        </w:rPr>
        <w:t xml:space="preserve">人工干预大多属于事后干预：攻击发生之后才制止、批评。事后压制很容易激化对立，诱发报复性攻击。而机器人可以设置情绪先兆识别触发脚本，捕捉音量升高、肢体紧绷等先兆信号，在攻击尚未爆发阶段给出温和提示、呼吸引导、转移提示，做到前置柔性纠偏。</w:t>
      </w:r>
    </w:p>
    <w:p>
      <w:pPr>
        <w:spacing w:after="120" w:line="360"/>
        <w:ind w:firstLine="480"/>
      </w:pPr>
      <w:r>
        <w:rPr>
          <w:rFonts w:ascii="Times New Roman" w:cs="Times New Roman" w:eastAsia="WenQuanYi Micro Hei" w:hAnsi="Times New Roman"/>
          <w:sz w:val="24"/>
          <w:szCs w:val="24"/>
        </w:rPr>
        <w:t xml:space="preserve">Efstratiou等人（2020）使用Pepper机器人开展干预，设置情绪先兆提示脚本，对比事后制止模式，前置柔性提示组别报复性反弹行为发生频次下降28.1%。机器人不使用训斥惩罚，以正向提示作为主要干预手段，契合正向行为支持PBS理念。但客观局限是：机器人仅能识别明显外在肢体信号，无法读懂内在动机，这就造成干预错配风险。</w:t>
      </w:r>
    </w:p>
    <w:p>
      <w:pPr>
        <w:pStyle w:val="Heading3"/>
      </w:pPr>
      <w:r>
        <w:rPr>
          <w:rFonts w:ascii="Times New Roman" w:cs="Times New Roman" w:eastAsia="WenQuanYi Micro Hei" w:hAnsi="Times New Roman"/>
          <w:b/>
          <w:bCs/>
          <w:sz w:val="25"/>
          <w:szCs w:val="25"/>
        </w:rPr>
        <w:t xml:space="preserve">3.5　客观量化行为数据追踪弥补人工观察主观性</w:t>
      </w:r>
    </w:p>
    <w:p>
      <w:pPr>
        <w:spacing w:after="120" w:line="360"/>
        <w:ind w:firstLine="480"/>
      </w:pPr>
      <w:r>
        <w:rPr>
          <w:rFonts w:ascii="Times New Roman" w:cs="Times New Roman" w:eastAsia="WenQuanYi Micro Hei" w:hAnsi="Times New Roman"/>
          <w:sz w:val="24"/>
          <w:szCs w:val="24"/>
        </w:rPr>
        <w:t xml:space="preserve">一线特教教师行为观察存在主观偏差，同一学生不同教师评分一致性系数仅为0.58，属于中等一致性，主观记录容易遗漏行为诱因、时间规律（</w:t>
      </w:r>
      <w:r>
        <w:rPr>
          <w:rFonts w:ascii="Times New Roman" w:cs="Times New Roman" w:eastAsia="WenQuanYi Micro Hei" w:hAnsi="Times New Roman"/>
          <w:sz w:val="24"/>
          <w:szCs w:val="24"/>
        </w:rPr>
        <w:t xml:space="preserve">冯学珍等，2026</w:t>
      </w:r>
      <w:r>
        <w:rPr>
          <w:rFonts w:ascii="Times New Roman" w:cs="Times New Roman" w:eastAsia="WenQuanYi Micro Hei" w:hAnsi="Times New Roman"/>
          <w:sz w:val="24"/>
          <w:szCs w:val="24"/>
        </w:rPr>
        <w:t xml:space="preserve">）。机器人可以自动记录交互当中情绪爆发频次、持续时长、触发场景，生成客观时序数据。数据可以辅助教师做FBA行为功能分析，帮助教师定位攻击高发时间、高发场景。这也是国家特殊教育数字化政策当中大数据赋能特殊教育的落地路径之一（</w:t>
      </w:r>
      <w:r>
        <w:rPr>
          <w:rFonts w:ascii="Times New Roman" w:cs="Times New Roman" w:eastAsia="WenQuanYi Micro Hei" w:hAnsi="Times New Roman"/>
          <w:sz w:val="24"/>
          <w:szCs w:val="24"/>
        </w:rPr>
        <w:t xml:space="preserve">教育部等七部门，2026</w:t>
      </w:r>
      <w:r>
        <w:rPr>
          <w:rFonts w:ascii="Times New Roman" w:cs="Times New Roman" w:eastAsia="WenQuanYi Micro Hei" w:hAnsi="Times New Roman"/>
          <w:sz w:val="24"/>
          <w:szCs w:val="24"/>
        </w:rPr>
        <w:t xml:space="preserve">）。但数据仅仅是工具，解读数据、判断行为功能依旧必须依靠特教专业人员完成，机器人本身不能解读数据背后心理动因。</w:t>
      </w:r>
    </w:p>
    <w:p>
      <w:pPr>
        <w:pStyle w:val="Heading1"/>
        <w:pageBreakBefore/>
      </w:pPr>
      <w:r>
        <w:rPr>
          <w:rFonts w:ascii="Times New Roman" w:cs="Times New Roman" w:eastAsia="WenQuanYi Micro Hei" w:hAnsi="Times New Roman"/>
          <w:b/>
          <w:bCs/>
          <w:sz w:val="32"/>
          <w:szCs w:val="32"/>
        </w:rPr>
        <w:t xml:space="preserve">第四章　人形机器人干预固有限制与现实风险（实证支撑）</w:t>
      </w:r>
    </w:p>
    <w:p>
      <w:pPr>
        <w:spacing w:after="120" w:line="360"/>
        <w:ind w:firstLine="480"/>
      </w:pPr>
      <w:r>
        <w:rPr>
          <w:rFonts w:ascii="Times New Roman" w:cs="Times New Roman" w:eastAsia="WenQuanYi Micro Hei" w:hAnsi="Times New Roman"/>
          <w:sz w:val="24"/>
          <w:szCs w:val="24"/>
        </w:rPr>
        <w:t xml:space="preserve">我们承认机器人上述正向价值，但现有大量双盲实验、随访研究已经清晰展示机器人干预不可回避的短板，不能陷入技术浪漫主义。</w:t>
      </w:r>
    </w:p>
    <w:p>
      <w:pPr>
        <w:pStyle w:val="Heading3"/>
      </w:pPr>
      <w:r>
        <w:rPr>
          <w:rFonts w:ascii="Times New Roman" w:cs="Times New Roman" w:eastAsia="WenQuanYi Micro Hei" w:hAnsi="Times New Roman"/>
          <w:b/>
          <w:bCs/>
          <w:sz w:val="25"/>
          <w:szCs w:val="25"/>
        </w:rPr>
        <w:t xml:space="preserve">4.1　无法自主识别攻击行为功能，存在干预错配风险</w:t>
      </w:r>
    </w:p>
    <w:p>
      <w:pPr>
        <w:spacing w:after="120" w:line="360"/>
        <w:ind w:firstLine="480"/>
      </w:pPr>
      <w:r>
        <w:rPr>
          <w:rFonts w:ascii="Times New Roman" w:cs="Times New Roman" w:eastAsia="WenQuanYi Micro Hei" w:hAnsi="Times New Roman"/>
          <w:sz w:val="24"/>
          <w:szCs w:val="24"/>
        </w:rPr>
        <w:t xml:space="preserve">FBA行为功能评估是ASD攻击干预的前提，同样是打人行为，动机可能是逃避任务、感官过载、寻求关注、恐惧。机器人只能识别外在动作，无法自主判断行为功能（</w:t>
      </w:r>
      <w:r>
        <w:rPr>
          <w:rFonts w:ascii="Times New Roman" w:cs="Times New Roman" w:eastAsia="WenQuanYi Micro Hei" w:hAnsi="Times New Roman"/>
          <w:sz w:val="24"/>
          <w:szCs w:val="24"/>
        </w:rPr>
        <w:t xml:space="preserve">Salimi et al., 2021</w:t>
      </w:r>
      <w:r>
        <w:rPr>
          <w:rFonts w:ascii="Times New Roman" w:cs="Times New Roman" w:eastAsia="WenQuanYi Micro Hei" w:hAnsi="Times New Roman"/>
          <w:sz w:val="24"/>
          <w:szCs w:val="24"/>
        </w:rPr>
        <w:t xml:space="preserve">）。如果孩子攻击来源于感官过载，机器人依旧输出声光互动，反而会加重感官负荷，激化攻击。</w:t>
      </w:r>
    </w:p>
    <w:p>
      <w:pPr>
        <w:spacing w:after="120" w:line="360"/>
        <w:ind w:firstLine="480"/>
      </w:pPr>
      <w:r>
        <w:rPr>
          <w:rFonts w:ascii="Times New Roman" w:cs="Times New Roman" w:eastAsia="WenQuanYi Micro Hei" w:hAnsi="Times New Roman"/>
          <w:sz w:val="24"/>
          <w:szCs w:val="24"/>
        </w:rPr>
        <w:t xml:space="preserve">这就得出一条明确结论：机器人只能执行教师完成FBA之后写好的干预脚本，机器人本身不能做行为功能评估。Feng et al. (2026)准实验当中，机器人脚本只做社交训练，没有针对攻击功能设计脚本，最终攻击行为指标没有统计学改善，恰恰印证：脱离专业评估，机器人本身不会自动起效。</w:t>
      </w:r>
    </w:p>
    <w:p>
      <w:pPr>
        <w:pStyle w:val="Heading3"/>
      </w:pPr>
      <w:r>
        <w:rPr>
          <w:rFonts w:ascii="Times New Roman" w:cs="Times New Roman" w:eastAsia="WenQuanYi Micro Hei" w:hAnsi="Times New Roman"/>
          <w:b/>
          <w:bCs/>
          <w:sz w:val="25"/>
          <w:szCs w:val="25"/>
        </w:rPr>
        <w:t xml:space="preserve">4.2　新奇效应带来假性改善，短期行为变化不等于能力真正提升</w:t>
      </w:r>
    </w:p>
    <w:p>
      <w:pPr>
        <w:spacing w:after="120" w:line="360"/>
        <w:ind w:firstLine="480"/>
      </w:pPr>
      <w:r>
        <w:rPr>
          <w:rFonts w:ascii="Times New Roman" w:cs="Times New Roman" w:eastAsia="WenQuanYi Micro Hei" w:hAnsi="Times New Roman"/>
          <w:sz w:val="24"/>
          <w:szCs w:val="24"/>
        </w:rPr>
        <w:t xml:space="preserve">多篇系统综述警示机器人干预当中的新奇效应（novelty effect）：儿童一开始被机器人外形、声光吸引，注意力被动转移，攻击行为暂时下降，并不是情绪调节能力得到实质提升（</w:t>
      </w:r>
      <w:r>
        <w:rPr>
          <w:rFonts w:ascii="Times New Roman" w:cs="Times New Roman" w:eastAsia="WenQuanYi Micro Hei" w:hAnsi="Times New Roman"/>
          <w:sz w:val="24"/>
          <w:szCs w:val="24"/>
        </w:rPr>
        <w:t xml:space="preserve">Salimi et al., 2021</w:t>
      </w:r>
      <w:r>
        <w:rPr>
          <w:rFonts w:ascii="Times New Roman" w:cs="Times New Roman" w:eastAsia="WenQuanYi Micro Hei" w:hAnsi="Times New Roman"/>
          <w:sz w:val="24"/>
          <w:szCs w:val="24"/>
        </w:rPr>
        <w:t xml:space="preserve">）。Ghiglino et al. (2025)8周干预实验，干预结束即刻测量冲动行为下降24.2%；但3个月随访，回落至仅比基线低8.7%。部分效果随着机器人新鲜感消退出现反弹。如果教师误把新奇效应当成真实干预效果，会造成教育误判，耽误真正干预时机。如何区分“新鲜感带来暂时安静”和“真正情绪调节能力提升”，是一线应用必须面对难题。</w:t>
      </w:r>
    </w:p>
    <w:p>
      <w:pPr>
        <w:pStyle w:val="Heading3"/>
      </w:pPr>
      <w:r>
        <w:rPr>
          <w:rFonts w:ascii="Times New Roman" w:cs="Times New Roman" w:eastAsia="WenQuanYi Micro Hei" w:hAnsi="Times New Roman"/>
          <w:b/>
          <w:bCs/>
          <w:sz w:val="25"/>
          <w:szCs w:val="25"/>
        </w:rPr>
        <w:t xml:space="preserve">4.3　场景泛化困难，人机场景改善很难自动迁移真人生活</w:t>
      </w:r>
    </w:p>
    <w:p>
      <w:pPr>
        <w:spacing w:after="120" w:line="360"/>
        <w:ind w:firstLine="480"/>
      </w:pPr>
      <w:r>
        <w:rPr>
          <w:rFonts w:ascii="Times New Roman" w:cs="Times New Roman" w:eastAsia="WenQuanYi Micro Hei" w:hAnsi="Times New Roman"/>
          <w:sz w:val="24"/>
          <w:szCs w:val="24"/>
        </w:rPr>
        <w:t xml:space="preserve">教育最终目标是让孩子在真实课堂、同伴交往、家庭当中控制情绪，不是只在机器人面前表现良好。国际元分析数据显示：缺少专门真人泛化教学设计条件下，随访阶段干预效应量衰减至d = 0.11，几乎没有统计学意义（</w:t>
      </w:r>
      <w:r>
        <w:rPr>
          <w:rFonts w:ascii="Times New Roman" w:cs="Times New Roman" w:eastAsia="WenQuanYi Micro Hei" w:hAnsi="Times New Roman"/>
          <w:sz w:val="24"/>
          <w:szCs w:val="24"/>
        </w:rPr>
        <w:t xml:space="preserve">Salimi et al., 2021</w:t>
      </w:r>
      <w:r>
        <w:rPr>
          <w:rFonts w:ascii="Times New Roman" w:cs="Times New Roman" w:eastAsia="WenQuanYi Micro Hei" w:hAnsi="Times New Roman"/>
          <w:sz w:val="24"/>
          <w:szCs w:val="24"/>
        </w:rPr>
        <w:t xml:space="preserve">）。也就是说，只做机器人训练，不做教师主导的真人迁移教学，孩子很容易出现“人机一套，现实一套”割裂状态。人机交互环境是简化理想环境，真实世界社交充满不确定性、冲突、批评，机器人环境无法复刻真实社交复杂性。这也是当前该领域最大痛点。</w:t>
      </w:r>
    </w:p>
    <w:p>
      <w:pPr>
        <w:pStyle w:val="Heading3"/>
      </w:pPr>
      <w:r>
        <w:rPr>
          <w:rFonts w:ascii="Times New Roman" w:cs="Times New Roman" w:eastAsia="WenQuanYi Micro Hei" w:hAnsi="Times New Roman"/>
          <w:b/>
          <w:bCs/>
          <w:sz w:val="25"/>
          <w:szCs w:val="25"/>
        </w:rPr>
        <w:t xml:space="preserve">4.4　危机处置能力完全缺失</w:t>
      </w:r>
    </w:p>
    <w:p>
      <w:pPr>
        <w:spacing w:after="120" w:line="360"/>
        <w:ind w:firstLine="480"/>
      </w:pPr>
      <w:r>
        <w:rPr>
          <w:rFonts w:ascii="Times New Roman" w:cs="Times New Roman" w:eastAsia="WenQuanYi Micro Hei" w:hAnsi="Times New Roman"/>
          <w:sz w:val="24"/>
          <w:szCs w:val="24"/>
        </w:rPr>
        <w:t xml:space="preserve">面对重度情绪崩溃、持续暴力伤人、自伤危机，机器人没有安全处置能力，不能做危机干预。在风险发生时刻机器人只能失效，所有危机处置工作100%需要特教教师完成（</w:t>
      </w:r>
      <w:r>
        <w:rPr>
          <w:rFonts w:ascii="Times New Roman" w:cs="Times New Roman" w:eastAsia="WenQuanYi Micro Hei" w:hAnsi="Times New Roman"/>
          <w:sz w:val="24"/>
          <w:szCs w:val="24"/>
        </w:rPr>
        <w:t xml:space="preserve">Ghiglino et al., 2025</w:t>
      </w:r>
      <w:r>
        <w:rPr>
          <w:rFonts w:ascii="Times New Roman" w:cs="Times New Roman" w:eastAsia="WenQuanYi Micro Hei" w:hAnsi="Times New Roman"/>
          <w:sz w:val="24"/>
          <w:szCs w:val="24"/>
        </w:rPr>
        <w:t xml:space="preserve">）。这一条硬性现实，从根本划定机器人辅助定位，机器永远不能独立运行，全程必须专业人员在场监管。</w:t>
      </w:r>
    </w:p>
    <w:p>
      <w:pPr>
        <w:pStyle w:val="Heading1"/>
        <w:pageBreakBefore/>
      </w:pPr>
      <w:r>
        <w:rPr>
          <w:rFonts w:ascii="Times New Roman" w:cs="Times New Roman" w:eastAsia="WenQuanYi Micro Hei" w:hAnsi="Times New Roman"/>
          <w:b/>
          <w:bCs/>
          <w:sz w:val="32"/>
          <w:szCs w:val="32"/>
        </w:rPr>
        <w:t xml:space="preserve">第五章　人形机器人用于ASD干预的伦理风险与伦理实践框架（独立完整伦理章节）</w:t>
      </w:r>
    </w:p>
    <w:p>
      <w:pPr>
        <w:spacing w:after="120" w:line="360"/>
        <w:ind w:firstLine="480"/>
      </w:pPr>
      <w:r>
        <w:rPr>
          <w:rFonts w:ascii="Times New Roman" w:cs="Times New Roman" w:eastAsia="WenQuanYi Micro Hei" w:hAnsi="Times New Roman"/>
          <w:sz w:val="24"/>
          <w:szCs w:val="24"/>
        </w:rPr>
        <w:t xml:space="preserve">APA-7实证论文要求应用技术类研究必须独立讨论伦理议题，不能简单一笔带过。现有国内很多同类文献伦理部分十分薄弱，本章结合国际机器人伦理指南、特殊儿童权利、跨文化场景（中国、马来西亚）展开系统论述。</w:t>
      </w:r>
    </w:p>
    <w:p>
      <w:pPr>
        <w:spacing w:after="120" w:line="360"/>
        <w:ind w:firstLine="480"/>
      </w:pPr>
      <w:r>
        <w:rPr>
          <w:rFonts w:ascii="Times New Roman" w:cs="Times New Roman" w:eastAsia="WenQuanYi Micro Hei" w:hAnsi="Times New Roman"/>
          <w:sz w:val="24"/>
          <w:szCs w:val="24"/>
        </w:rPr>
        <w:t xml:space="preserve">社交辅助人形机器人服务于心智发展尚不成熟的ASD儿童，天然存在多重伦理风险，包含研究伦理、课堂实践伦理、数据伦理、儿童发展伦理多个层面。《“人工智能+教育”行动计划》明确要求人工智能教育应用坚持儿童权益优先，防范技术滥用风险（</w:t>
      </w:r>
      <w:r>
        <w:rPr>
          <w:rFonts w:ascii="Times New Roman" w:cs="Times New Roman" w:eastAsia="WenQuanYi Micro Hei" w:hAnsi="Times New Roman"/>
          <w:sz w:val="24"/>
          <w:szCs w:val="24"/>
        </w:rPr>
        <w:t xml:space="preserve">教育部等五部门，2026</w:t>
      </w:r>
      <w:r>
        <w:rPr>
          <w:rFonts w:ascii="Times New Roman" w:cs="Times New Roman" w:eastAsia="WenQuanYi Micro Hei" w:hAnsi="Times New Roman"/>
          <w:sz w:val="24"/>
          <w:szCs w:val="24"/>
        </w:rPr>
        <w:t xml:space="preserve">）。国际机器人伦理学界针对ASD机器人干预已经提出多条伦理警示（</w:t>
      </w:r>
      <w:r>
        <w:rPr>
          <w:rFonts w:ascii="Times New Roman" w:cs="Times New Roman" w:eastAsia="WenQuanYi Micro Hei" w:hAnsi="Times New Roman"/>
          <w:sz w:val="24"/>
          <w:szCs w:val="24"/>
        </w:rPr>
        <w:t xml:space="preserve">Salimi et al., 2021</w:t>
      </w:r>
      <w:r>
        <w:rPr>
          <w:rFonts w:ascii="Times New Roman" w:cs="Times New Roman" w:eastAsia="WenQuanYi Micro Hei" w:hAnsi="Times New Roman"/>
          <w:sz w:val="24"/>
          <w:szCs w:val="24"/>
        </w:rPr>
        <w:t xml:space="preserve">）。</w:t>
      </w:r>
    </w:p>
    <w:p>
      <w:pPr>
        <w:pStyle w:val="Heading3"/>
      </w:pPr>
      <w:r>
        <w:rPr>
          <w:rFonts w:ascii="Times New Roman" w:cs="Times New Roman" w:eastAsia="WenQuanYi Micro Hei" w:hAnsi="Times New Roman"/>
          <w:b/>
          <w:bCs/>
          <w:sz w:val="25"/>
          <w:szCs w:val="25"/>
        </w:rPr>
        <w:t xml:space="preserve">5.1　知情同意与儿童assent（儿童许可）伦理</w:t>
      </w:r>
    </w:p>
    <w:p>
      <w:pPr>
        <w:spacing w:after="120" w:line="360"/>
        <w:ind w:firstLine="480"/>
      </w:pPr>
      <w:r>
        <w:rPr>
          <w:rFonts w:ascii="Times New Roman" w:cs="Times New Roman" w:eastAsia="WenQuanYi Micro Hei" w:hAnsi="Times New Roman"/>
          <w:sz w:val="24"/>
          <w:szCs w:val="24"/>
        </w:rPr>
        <w:t xml:space="preserve">ASD儿童属于弱势研究对象，机器人干预研究与课堂应用都需要完整伦理流程。第一，监护人书面知情同意，需要如实告知：机器人干预潜在获益，同时如实告知假性改善、泛化不足等局限，不能夸大技术效果；不能为了课题研究隐瞒风险。第二，儿童assent，也就是儿童本身的许可。很多研究只重视家长同意，忽略孩子本人意愿。ASD儿童即便语言能力有限，也会通过回避、后退、抗拒动作表达不希望和机器人互动。当儿童持续表现抗拒，无论家长是否同意，都应当终止人机交互，不能为了实验数据强迫儿童参与（</w:t>
      </w:r>
      <w:r>
        <w:rPr>
          <w:rFonts w:ascii="Times New Roman" w:cs="Times New Roman" w:eastAsia="WenQuanYi Micro Hei" w:hAnsi="Times New Roman"/>
          <w:sz w:val="24"/>
          <w:szCs w:val="24"/>
        </w:rPr>
        <w:t xml:space="preserve">Moganadas et al., 2025</w:t>
      </w:r>
      <w:r>
        <w:rPr>
          <w:rFonts w:ascii="Times New Roman" w:cs="Times New Roman" w:eastAsia="WenQuanYi Micro Hei" w:hAnsi="Times New Roman"/>
          <w:sz w:val="24"/>
          <w:szCs w:val="24"/>
        </w:rPr>
        <w:t xml:space="preserve">）。马来西亚特殊教育伦理规范同样强调，特殊儿童本人非语言表达的拒绝信号应当被尊重。现实当中部分学校为展示机器人效果，强迫回避机器人的ASD孩子进行演示，这属于违背儿童权利的伦理失范。</w:t>
      </w:r>
    </w:p>
    <w:p>
      <w:pPr>
        <w:pStyle w:val="Heading3"/>
      </w:pPr>
      <w:r>
        <w:rPr>
          <w:rFonts w:ascii="Times New Roman" w:cs="Times New Roman" w:eastAsia="WenQuanYi Micro Hei" w:hAnsi="Times New Roman"/>
          <w:b/>
          <w:bCs/>
          <w:sz w:val="25"/>
          <w:szCs w:val="25"/>
        </w:rPr>
        <w:t xml:space="preserve">5.2　数据隐私伦理风险</w:t>
      </w:r>
    </w:p>
    <w:p>
      <w:pPr>
        <w:spacing w:after="120" w:line="360"/>
        <w:ind w:firstLine="480"/>
      </w:pPr>
      <w:r>
        <w:rPr>
          <w:rFonts w:ascii="Times New Roman" w:cs="Times New Roman" w:eastAsia="WenQuanYi Micro Hei" w:hAnsi="Times New Roman"/>
          <w:sz w:val="24"/>
          <w:szCs w:val="24"/>
        </w:rPr>
        <w:t xml:space="preserve">人形机器人交互过程会采集视频、音频、情绪行为记录、儿童行为时序数据。这些数据属于特殊儿童敏感个人信息。风险点：第一，课堂应用当中未经许可录制儿童影像用于宣传展示；第二，数据云端存储泄露风险；第三，把儿童行为数据用于商业算法训练。伦理实践要求：所有影像、行为记录必须获得监护人书面授权；禁止未经许可把ASD儿童机器人交互视频用于公众号、对外展示宣传；数据最小化原则，只采集干预必需数据；设置数据存储期限，干预结束之后按要求销毁原始音视频资料（</w:t>
      </w:r>
      <w:r>
        <w:rPr>
          <w:rFonts w:ascii="Times New Roman" w:cs="Times New Roman" w:eastAsia="WenQuanYi Micro Hei" w:hAnsi="Times New Roman"/>
          <w:sz w:val="24"/>
          <w:szCs w:val="24"/>
        </w:rPr>
        <w:t xml:space="preserve">教育部等五部门，2026</w:t>
      </w:r>
      <w:r>
        <w:rPr>
          <w:rFonts w:ascii="Times New Roman" w:cs="Times New Roman" w:eastAsia="WenQuanYi Micro Hei" w:hAnsi="Times New Roman"/>
          <w:sz w:val="24"/>
          <w:szCs w:val="24"/>
        </w:rPr>
        <w:t xml:space="preserve">）。</w:t>
      </w:r>
    </w:p>
    <w:p>
      <w:pPr>
        <w:pStyle w:val="Heading3"/>
      </w:pPr>
      <w:r>
        <w:rPr>
          <w:rFonts w:ascii="Times New Roman" w:cs="Times New Roman" w:eastAsia="WenQuanYi Micro Hei" w:hAnsi="Times New Roman"/>
          <w:b/>
          <w:bCs/>
          <w:sz w:val="25"/>
          <w:szCs w:val="25"/>
        </w:rPr>
        <w:t xml:space="preserve">5.3　人机过度陪伴与人机社交依赖风险</w:t>
      </w:r>
    </w:p>
    <w:p>
      <w:pPr>
        <w:spacing w:after="120" w:line="360"/>
        <w:ind w:firstLine="480"/>
      </w:pPr>
      <w:r>
        <w:rPr>
          <w:rFonts w:ascii="Times New Roman" w:cs="Times New Roman" w:eastAsia="WenQuanYi Micro Hei" w:hAnsi="Times New Roman"/>
          <w:sz w:val="24"/>
          <w:szCs w:val="24"/>
        </w:rPr>
        <w:t xml:space="preserve">机器人永远温和包容，不会批评，不会冲突，营造零压力温室社交环境。这里产生核心伦理疑问：长期处在永远包容的机器社交当中，会不会降低孩子面对真实社交挫折的耐受能力？真实人际关系会有冲突、批评、不理解，这是社会化必经部分。如果孩子习惯机器人无条件顺从，回到现实遇到同伴拒绝、教师批评，会不会更加难以适应？Salimi et al. (2021)系统综述专门把“过度社交保护”列为ASD机器人干预首要伦理隐患。</w:t>
      </w:r>
    </w:p>
    <w:p>
      <w:pPr>
        <w:spacing w:after="120" w:line="360"/>
        <w:ind w:firstLine="480"/>
      </w:pPr>
      <w:r>
        <w:rPr>
          <w:rFonts w:ascii="Times New Roman" w:cs="Times New Roman" w:eastAsia="WenQuanYi Micro Hei" w:hAnsi="Times New Roman"/>
          <w:sz w:val="24"/>
          <w:szCs w:val="24"/>
        </w:rPr>
        <w:t xml:space="preserve">伦理管控实践方案：必须设置人机交互时长上限，机器人只能作为过渡辅助，不能取代真人师生、同伴交往。人机交互之后，教师必须立刻接续真人社交训练，不能长时间让孩子单独和机器人相处。人机交互占社交训练总时长不应当超过40%，保证真人社交仍然占据主体地位。这一条伦理规则在中国、马来西亚全纳课堂都适用。</w:t>
      </w:r>
    </w:p>
    <w:p>
      <w:pPr>
        <w:pStyle w:val="Heading3"/>
      </w:pPr>
      <w:r>
        <w:rPr>
          <w:rFonts w:ascii="Times New Roman" w:cs="Times New Roman" w:eastAsia="WenQuanYi Micro Hei" w:hAnsi="Times New Roman"/>
          <w:b/>
          <w:bCs/>
          <w:sz w:val="25"/>
          <w:szCs w:val="25"/>
        </w:rPr>
        <w:t xml:space="preserve">5.4　技术异化风险：技术崇拜，把机器人当成“治疗神器”</w:t>
      </w:r>
    </w:p>
    <w:p>
      <w:pPr>
        <w:spacing w:after="120" w:line="360"/>
        <w:ind w:firstLine="480"/>
      </w:pPr>
      <w:r>
        <w:rPr>
          <w:rFonts w:ascii="Times New Roman" w:cs="Times New Roman" w:eastAsia="WenQuanYi Micro Hei" w:hAnsi="Times New Roman"/>
          <w:sz w:val="24"/>
          <w:szCs w:val="24"/>
        </w:rPr>
        <w:t xml:space="preserve">现实当中存在一种伦理误区：学校、家长过度神化机器人，将人形机器人宣传为孤独症“治疗设备”，夸大干预效果，让家长产生不切实际期待。必须明确：人形机器人是教育辅助工具，不能治愈孤独症谱系障碍。商业宣传、学校宣传禁止使用“机器人治好孤独症”这类误导性表述。政策文件同样明确，智能辅具只是辅助，不能替代教育康复（</w:t>
      </w:r>
      <w:r>
        <w:rPr>
          <w:rFonts w:ascii="Times New Roman" w:cs="Times New Roman" w:eastAsia="WenQuanYi Micro Hei" w:hAnsi="Times New Roman"/>
          <w:sz w:val="24"/>
          <w:szCs w:val="24"/>
        </w:rPr>
        <w:t xml:space="preserve">教育部等七部门，2026</w:t>
      </w:r>
      <w:r>
        <w:rPr>
          <w:rFonts w:ascii="Times New Roman" w:cs="Times New Roman" w:eastAsia="WenQuanYi Micro Hei" w:hAnsi="Times New Roman"/>
          <w:sz w:val="24"/>
          <w:szCs w:val="24"/>
        </w:rPr>
        <w:t xml:space="preserve">）。技术异化另一表现：把教育责任转嫁机器，教师减少自身教育投入，把孩子丢给机器人，教师抽身离开。这是严重违背教育伦理。无论机器人如何智能，教育责任主体永远是人，不是机器。</w:t>
      </w:r>
    </w:p>
    <w:p>
      <w:pPr>
        <w:pStyle w:val="Heading3"/>
      </w:pPr>
      <w:r>
        <w:rPr>
          <w:rFonts w:ascii="Times New Roman" w:cs="Times New Roman" w:eastAsia="WenQuanYi Micro Hei" w:hAnsi="Times New Roman"/>
          <w:b/>
          <w:bCs/>
          <w:sz w:val="25"/>
          <w:szCs w:val="25"/>
        </w:rPr>
        <w:t xml:space="preserve">5.5　跨文化伦理差异思考：中国与马来西亚场景对比</w:t>
      </w:r>
    </w:p>
    <w:p>
      <w:pPr>
        <w:spacing w:after="120" w:line="360"/>
        <w:ind w:firstLine="480"/>
      </w:pPr>
      <w:r>
        <w:rPr>
          <w:rFonts w:ascii="Times New Roman" w:cs="Times New Roman" w:eastAsia="WenQuanYi Micro Hei" w:hAnsi="Times New Roman"/>
          <w:sz w:val="24"/>
          <w:szCs w:val="24"/>
        </w:rPr>
        <w:t xml:space="preserve">伦理规范不是完全全球统一，存在文化差异。马来西亚多元文化背景之下，家长对于机器人介入儿童教育态度分化：部分家长欢迎新技术，也有部分家长对机器介入儿童心理陪伴持保守态度；华人家庭与马来本土家庭观念存在差异（</w:t>
      </w:r>
      <w:r>
        <w:rPr>
          <w:rFonts w:ascii="Times New Roman" w:cs="Times New Roman" w:eastAsia="WenQuanYi Micro Hei" w:hAnsi="Times New Roman"/>
          <w:sz w:val="24"/>
          <w:szCs w:val="24"/>
        </w:rPr>
        <w:t xml:space="preserve">Moganadas et al., 2025</w:t>
      </w:r>
      <w:r>
        <w:rPr>
          <w:rFonts w:ascii="Times New Roman" w:cs="Times New Roman" w:eastAsia="WenQuanYi Micro Hei" w:hAnsi="Times New Roman"/>
          <w:sz w:val="24"/>
          <w:szCs w:val="24"/>
        </w:rPr>
        <w:t xml:space="preserve">）。因此在马来西亚全纳课堂开展机器人干预，除通用伦理之外，还需要兼顾本土文化观念，充分和家校沟通，尊重不同族群家庭对于技术的接受程度，不能照搬欧美实验室伦理框架直接落地东南亚课堂。在中国场景，要结合国内特殊教育政策，坚持全纳教育人本立场。</w:t>
      </w:r>
    </w:p>
    <w:p>
      <w:pPr>
        <w:pStyle w:val="Heading3"/>
      </w:pPr>
      <w:r>
        <w:rPr>
          <w:rFonts w:ascii="Times New Roman" w:cs="Times New Roman" w:eastAsia="WenQuanYi Micro Hei" w:hAnsi="Times New Roman"/>
          <w:b/>
          <w:bCs/>
          <w:sz w:val="25"/>
          <w:szCs w:val="25"/>
        </w:rPr>
        <w:t xml:space="preserve">5.6　本研究提出伦理实践总原则</w:t>
      </w:r>
    </w:p>
    <w:p>
      <w:pPr>
        <w:spacing w:after="120" w:line="360"/>
        <w:ind w:firstLine="480"/>
      </w:pPr>
      <w:r>
        <w:rPr>
          <w:rFonts w:ascii="Times New Roman" w:cs="Times New Roman" w:eastAsia="WenQuanYi Micro Hei" w:hAnsi="Times New Roman"/>
          <w:sz w:val="24"/>
          <w:szCs w:val="24"/>
        </w:rPr>
        <w:t xml:space="preserve">综合政策、国际文献、跨文化现实，归纳五条可落地伦理原则：</w:t>
      </w:r>
    </w:p>
    <w:p>
      <w:pPr>
        <w:pStyle w:val="ListParagraph"/>
        <w:numPr>
          <w:ilvl w:val="0"/>
          <w:numId w:val="2"/>
        </w:numPr>
        <w:spacing w:after="120" w:line="360"/>
        <w:ind/>
      </w:pPr>
      <w:r>
        <w:rPr>
          <w:rFonts w:ascii="Times New Roman" w:cs="Times New Roman" w:eastAsia="WenQuanYi Micro Hei" w:hAnsi="Times New Roman"/>
          <w:sz w:val="24"/>
          <w:szCs w:val="24"/>
        </w:rPr>
        <w:t xml:space="preserve">1. 儿童利益最大化原则：一切以ASD儿童福祉优先，技术为儿童服务，不是儿童为技术展示服务；儿童出现抗拒信号，立刻终止人机交互。</w:t>
      </w:r>
    </w:p>
    <w:p>
      <w:pPr>
        <w:pStyle w:val="ListParagraph"/>
        <w:numPr>
          <w:ilvl w:val="0"/>
          <w:numId w:val="2"/>
        </w:numPr>
        <w:spacing w:after="120" w:line="360"/>
        <w:ind/>
      </w:pPr>
      <w:r>
        <w:rPr>
          <w:rFonts w:ascii="Times New Roman" w:cs="Times New Roman" w:eastAsia="WenQuanYi Micro Hei" w:hAnsi="Times New Roman"/>
          <w:sz w:val="24"/>
          <w:szCs w:val="24"/>
        </w:rPr>
        <w:t xml:space="preserve">2. 专业人员全程管控原则：机器人不能脱离特教教师独立运行，FBA评估、脚本设计、危机处置全部由专业人员完成。</w:t>
      </w:r>
    </w:p>
    <w:p>
      <w:pPr>
        <w:pStyle w:val="ListParagraph"/>
        <w:numPr>
          <w:ilvl w:val="0"/>
          <w:numId w:val="2"/>
        </w:numPr>
        <w:spacing w:after="120" w:line="360"/>
        <w:ind/>
      </w:pPr>
      <w:r>
        <w:rPr>
          <w:rFonts w:ascii="Times New Roman" w:cs="Times New Roman" w:eastAsia="WenQuanYi Micro Hei" w:hAnsi="Times New Roman"/>
          <w:sz w:val="24"/>
          <w:szCs w:val="24"/>
        </w:rPr>
        <w:t xml:space="preserve">3. 知情同意与assent双重原则：监护人书面同意，同时尊重儿童非语言形式表达的拒绝。</w:t>
      </w:r>
    </w:p>
    <w:p>
      <w:pPr>
        <w:pStyle w:val="ListParagraph"/>
        <w:numPr>
          <w:ilvl w:val="0"/>
          <w:numId w:val="2"/>
        </w:numPr>
        <w:spacing w:after="120" w:line="360"/>
        <w:ind/>
      </w:pPr>
      <w:r>
        <w:rPr>
          <w:rFonts w:ascii="Times New Roman" w:cs="Times New Roman" w:eastAsia="WenQuanYi Micro Hei" w:hAnsi="Times New Roman"/>
          <w:sz w:val="24"/>
          <w:szCs w:val="24"/>
        </w:rPr>
        <w:t xml:space="preserve">4. 数据最小化与隐私保护原则：严控音视频采集，禁止随意对外传播儿童交互影像。</w:t>
      </w:r>
    </w:p>
    <w:p>
      <w:pPr>
        <w:pStyle w:val="ListParagraph"/>
        <w:numPr>
          <w:ilvl w:val="0"/>
          <w:numId w:val="2"/>
        </w:numPr>
        <w:spacing w:after="120" w:line="360"/>
        <w:ind/>
      </w:pPr>
      <w:r>
        <w:rPr>
          <w:rFonts w:ascii="Times New Roman" w:cs="Times New Roman" w:eastAsia="WenQuanYi Micro Hei" w:hAnsi="Times New Roman"/>
          <w:sz w:val="24"/>
          <w:szCs w:val="24"/>
        </w:rPr>
        <w:t xml:space="preserve">5. 人机比例管控原则：机器人社交只能作为补充，真人社交训练占据绝对主体地位，防范人机社交温室效应。</w:t>
      </w:r>
    </w:p>
    <w:p>
      <w:pPr>
        <w:pStyle w:val="Heading1"/>
        <w:pageBreakBefore/>
      </w:pPr>
      <w:r>
        <w:rPr>
          <w:rFonts w:ascii="Times New Roman" w:cs="Times New Roman" w:eastAsia="WenQuanYi Micro Hei" w:hAnsi="Times New Roman"/>
          <w:b/>
          <w:bCs/>
          <w:sz w:val="32"/>
          <w:szCs w:val="32"/>
        </w:rPr>
        <w:t xml:space="preserve">第六章　人机协同视角下的应用路径与跨文化发展前景</w:t>
      </w:r>
    </w:p>
    <w:p>
      <w:pPr>
        <w:pStyle w:val="Heading2"/>
      </w:pPr>
      <w:r>
        <w:rPr>
          <w:rFonts w:ascii="Times New Roman" w:cs="Times New Roman" w:eastAsia="WenQuanYi Micro Hei" w:hAnsi="Times New Roman"/>
          <w:b/>
          <w:bCs/>
          <w:sz w:val="28"/>
          <w:szCs w:val="28"/>
        </w:rPr>
        <w:t xml:space="preserve">6.1　清晰划分教师与机器人职责边界</w:t>
      </w:r>
    </w:p>
    <w:p>
      <w:pPr>
        <w:spacing w:after="120" w:line="360"/>
        <w:ind w:firstLine="480"/>
      </w:pPr>
      <w:r>
        <w:rPr>
          <w:rFonts w:ascii="Times New Roman" w:cs="Times New Roman" w:eastAsia="WenQuanYi Micro Hei" w:hAnsi="Times New Roman"/>
          <w:sz w:val="24"/>
          <w:szCs w:val="24"/>
        </w:rPr>
        <w:t xml:space="preserve">教师承担不可替代工作：完成FBA行为功能评估、干预方案设计、危机干预、情感滋养、人格教育、真人社交泛化教学、家校沟通；机器人不触碰上述工作。</w:t>
      </w:r>
      <w:r>
        <w:rPr>
          <w:rFonts w:ascii="Times New Roman" w:cs="Times New Roman" w:eastAsia="WenQuanYi Micro Hei" w:hAnsi="Times New Roman"/>
          <w:sz w:val="24"/>
          <w:szCs w:val="24"/>
        </w:rPr>
        <w:t xml:space="preserve">机器人承担辅助工作：高频重复标准化正向训练、轻度情绪缓冲、冲动先兆柔性提示、客观行为数据记录。</w:t>
      </w:r>
    </w:p>
    <w:p>
      <w:pPr>
        <w:spacing w:after="120" w:line="360"/>
        <w:ind w:firstLine="480"/>
      </w:pPr>
      <w:r>
        <w:rPr>
          <w:rFonts w:ascii="Times New Roman" w:cs="Times New Roman" w:eastAsia="WenQuanYi Micro Hei" w:hAnsi="Times New Roman"/>
          <w:sz w:val="24"/>
          <w:szCs w:val="24"/>
        </w:rPr>
        <w:t xml:space="preserve">二者分工，不是机器替代教师，而是机器承接人类很难长期稳定完成的重复性标准化辅助工作，解放教师精力，让教师更多投入高价值情感教育、真人泛化教学（</w:t>
      </w:r>
      <w:r>
        <w:rPr>
          <w:rFonts w:ascii="Times New Roman" w:cs="Times New Roman" w:eastAsia="WenQuanYi Micro Hei" w:hAnsi="Times New Roman"/>
          <w:sz w:val="24"/>
          <w:szCs w:val="24"/>
        </w:rPr>
        <w:t xml:space="preserve">教育部等七部门，2026</w:t>
      </w:r>
      <w:r>
        <w:rPr>
          <w:rFonts w:ascii="Times New Roman" w:cs="Times New Roman" w:eastAsia="WenQuanYi Micro Hei" w:hAnsi="Times New Roman"/>
          <w:sz w:val="24"/>
          <w:szCs w:val="24"/>
        </w:rPr>
        <w:t xml:space="preserve">）。</w:t>
      </w:r>
    </w:p>
    <w:p>
      <w:pPr>
        <w:pStyle w:val="Heading2"/>
      </w:pPr>
      <w:r>
        <w:rPr>
          <w:rFonts w:ascii="Times New Roman" w:cs="Times New Roman" w:eastAsia="WenQuanYi Micro Hei" w:hAnsi="Times New Roman"/>
          <w:b/>
          <w:bCs/>
          <w:sz w:val="28"/>
          <w:szCs w:val="28"/>
        </w:rPr>
        <w:t xml:space="preserve">6.2　标准化人机协同干预流程</w:t>
      </w:r>
    </w:p>
    <w:p>
      <w:pPr>
        <w:spacing w:after="120" w:line="360"/>
        <w:ind w:firstLine="480"/>
      </w:pPr>
      <w:r>
        <w:rPr>
          <w:rFonts w:ascii="Times New Roman" w:cs="Times New Roman" w:eastAsia="WenQuanYi Micro Hei" w:hAnsi="Times New Roman"/>
          <w:sz w:val="24"/>
          <w:szCs w:val="24"/>
        </w:rPr>
        <w:t xml:space="preserve">结合国外机器人–ABA干预流程与国内政策导向，本研究提出适配全纳课堂干预流程：</w:t>
      </w:r>
    </w:p>
    <w:p>
      <w:pPr>
        <w:pStyle w:val="ListParagraph"/>
        <w:numPr>
          <w:ilvl w:val="0"/>
          <w:numId w:val="2"/>
        </w:numPr>
        <w:spacing w:after="120" w:line="360"/>
        <w:ind/>
      </w:pPr>
      <w:r>
        <w:rPr>
          <w:rFonts w:ascii="Times New Roman" w:cs="Times New Roman" w:eastAsia="WenQuanYi Micro Hei" w:hAnsi="Times New Roman"/>
          <w:sz w:val="24"/>
          <w:szCs w:val="24"/>
        </w:rPr>
        <w:t xml:space="preserve">1. 特教教师完成完整FBA行为功能评估，厘清攻击行为功能、触发条件；</w:t>
      </w:r>
    </w:p>
    <w:p>
      <w:pPr>
        <w:pStyle w:val="ListParagraph"/>
        <w:numPr>
          <w:ilvl w:val="0"/>
          <w:numId w:val="2"/>
        </w:numPr>
        <w:spacing w:after="120" w:line="360"/>
        <w:ind/>
      </w:pPr>
      <w:r>
        <w:rPr>
          <w:rFonts w:ascii="Times New Roman" w:cs="Times New Roman" w:eastAsia="WenQuanYi Micro Hei" w:hAnsi="Times New Roman"/>
          <w:sz w:val="24"/>
          <w:szCs w:val="24"/>
        </w:rPr>
        <w:t xml:space="preserve">2. 监护人知情同意，观察儿童对机器人接纳度，如果儿童持续抗拒则不启用机器人干预；</w:t>
      </w:r>
    </w:p>
    <w:p>
      <w:pPr>
        <w:pStyle w:val="ListParagraph"/>
        <w:numPr>
          <w:ilvl w:val="0"/>
          <w:numId w:val="2"/>
        </w:numPr>
        <w:spacing w:after="120" w:line="360"/>
        <w:ind/>
      </w:pPr>
      <w:r>
        <w:rPr>
          <w:rFonts w:ascii="Times New Roman" w:cs="Times New Roman" w:eastAsia="WenQuanYi Micro Hei" w:hAnsi="Times New Roman"/>
          <w:sz w:val="24"/>
          <w:szCs w:val="24"/>
        </w:rPr>
        <w:t xml:space="preserve">3. 教师根据FBA结果编写机器人干预脚本，设置情绪缓冲、柔性提示，限定每次人机交互时长；</w:t>
      </w:r>
    </w:p>
    <w:p>
      <w:pPr>
        <w:pStyle w:val="ListParagraph"/>
        <w:numPr>
          <w:ilvl w:val="0"/>
          <w:numId w:val="2"/>
        </w:numPr>
        <w:spacing w:after="120" w:line="360"/>
        <w:ind/>
      </w:pPr>
      <w:r>
        <w:rPr>
          <w:rFonts w:ascii="Times New Roman" w:cs="Times New Roman" w:eastAsia="WenQuanYi Micro Hei" w:hAnsi="Times New Roman"/>
          <w:sz w:val="24"/>
          <w:szCs w:val="24"/>
        </w:rPr>
        <w:t xml:space="preserve">4. 在教师在场监管之下开展人机交互干预；</w:t>
      </w:r>
    </w:p>
    <w:p>
      <w:pPr>
        <w:pStyle w:val="ListParagraph"/>
        <w:numPr>
          <w:ilvl w:val="0"/>
          <w:numId w:val="2"/>
        </w:numPr>
        <w:spacing w:after="120" w:line="360"/>
        <w:ind/>
      </w:pPr>
      <w:r>
        <w:rPr>
          <w:rFonts w:ascii="Times New Roman" w:cs="Times New Roman" w:eastAsia="WenQuanYi Micro Hei" w:hAnsi="Times New Roman"/>
          <w:sz w:val="24"/>
          <w:szCs w:val="24"/>
        </w:rPr>
        <w:t xml:space="preserve">5. 人机交互结束之后教师马上接续真人泛化教学，把人机场景习得替代行为迁移到师生、同伴真实交往；</w:t>
      </w:r>
    </w:p>
    <w:p>
      <w:pPr>
        <w:pStyle w:val="ListParagraph"/>
        <w:numPr>
          <w:ilvl w:val="0"/>
          <w:numId w:val="2"/>
        </w:numPr>
        <w:spacing w:after="120" w:line="360"/>
        <w:ind/>
      </w:pPr>
      <w:r>
        <w:rPr>
          <w:rFonts w:ascii="Times New Roman" w:cs="Times New Roman" w:eastAsia="WenQuanYi Micro Hei" w:hAnsi="Times New Roman"/>
          <w:sz w:val="24"/>
          <w:szCs w:val="24"/>
        </w:rPr>
        <w:t xml:space="preserve">6. 结合机器人记录客观数据+教师专业观察，动态调整干预脚本；</w:t>
      </w:r>
    </w:p>
    <w:p>
      <w:pPr>
        <w:pStyle w:val="ListParagraph"/>
        <w:numPr>
          <w:ilvl w:val="0"/>
          <w:numId w:val="2"/>
        </w:numPr>
        <w:spacing w:after="120" w:line="360"/>
        <w:ind/>
      </w:pPr>
      <w:r>
        <w:rPr>
          <w:rFonts w:ascii="Times New Roman" w:cs="Times New Roman" w:eastAsia="WenQuanYi Micro Hei" w:hAnsi="Times New Roman"/>
          <w:sz w:val="24"/>
          <w:szCs w:val="24"/>
        </w:rPr>
        <w:t xml:space="preserve">7. 出现情绪崩溃、暴力危机，立刻终止机器人程序，教师介入危机处置。</w:t>
      </w:r>
    </w:p>
    <w:p>
      <w:pPr>
        <w:spacing w:after="120" w:line="360"/>
        <w:ind w:firstLine="480"/>
      </w:pPr>
      <w:r>
        <w:rPr>
          <w:rFonts w:ascii="Times New Roman" w:cs="Times New Roman" w:eastAsia="WenQuanYi Micro Hei" w:hAnsi="Times New Roman"/>
          <w:sz w:val="24"/>
          <w:szCs w:val="24"/>
        </w:rPr>
        <w:t xml:space="preserve">这套流程把机器人牢牢限定在辅助位置，规避机器独立运行带来各类风险。</w:t>
      </w:r>
    </w:p>
    <w:p>
      <w:pPr>
        <w:pStyle w:val="Heading2"/>
      </w:pPr>
      <w:r>
        <w:rPr>
          <w:rFonts w:ascii="Times New Roman" w:cs="Times New Roman" w:eastAsia="WenQuanYi Micro Hei" w:hAnsi="Times New Roman"/>
          <w:b/>
          <w:bCs/>
          <w:sz w:val="28"/>
          <w:szCs w:val="28"/>
        </w:rPr>
        <w:t xml:space="preserve">6.3　跨文化发展前景：中国与马来西亚全纳课堂展望</w:t>
      </w:r>
    </w:p>
    <w:p>
      <w:pPr>
        <w:spacing w:after="120" w:line="360"/>
        <w:ind w:firstLine="480"/>
      </w:pPr>
      <w:r>
        <w:rPr>
          <w:rFonts w:ascii="Times New Roman" w:cs="Times New Roman" w:eastAsia="WenQuanYi Micro Hei" w:hAnsi="Times New Roman"/>
          <w:sz w:val="24"/>
          <w:szCs w:val="24"/>
        </w:rPr>
        <w:t xml:space="preserve">立足中国人形机器人产业优势以及中马两国特殊教育政策，分短期、中期、长期理性展望，拒绝技术浪漫想象。</w:t>
      </w:r>
    </w:p>
    <w:p>
      <w:pPr>
        <w:spacing w:after="120" w:line="360"/>
        <w:ind w:firstLine="480"/>
      </w:pPr>
      <w:r>
        <w:rPr>
          <w:rFonts w:ascii="Times New Roman" w:cs="Times New Roman" w:eastAsia="WenQuanYi Micro Hei" w:hAnsi="Times New Roman"/>
          <w:sz w:val="24"/>
          <w:szCs w:val="24"/>
        </w:rPr>
        <w:t xml:space="preserve">短期（1–3年）：机器人定位为课堂情绪缓冲辅助工具，用于缓解师生冲突、减轻教师情绪耗竭；现阶段不追求机器人独立降低攻击行为，核心价值是做情绪缓冲的辅助载体。马来西亚全纳课堂短期可以开展更多小样本本土试点，积累本地实证数据，不能直接套用欧美脚本。需要清醒：现阶段国内外针对攻击行为专项大样本RCT依旧不足，不可大规模全面铺开。</w:t>
      </w:r>
    </w:p>
    <w:p>
      <w:pPr>
        <w:spacing w:after="120" w:line="360"/>
        <w:ind w:firstLine="480"/>
      </w:pPr>
      <w:r>
        <w:rPr>
          <w:rFonts w:ascii="Times New Roman" w:cs="Times New Roman" w:eastAsia="WenQuanYi Micro Hei" w:hAnsi="Times New Roman"/>
          <w:sz w:val="24"/>
          <w:szCs w:val="24"/>
        </w:rPr>
        <w:t xml:space="preserve">中期（3–6年）：随着大模型迭代、干预脚本库持续完善，形成本土化人机协同干预标准化方案。但依据现有文献，机器自主识别行为动机依旧存在技术瓶颈，中期依旧依靠教师完成FBA，机器人执行分层脚本，而不是机器人自主判断动机。马来西亚可以依托华人特教研究者，开展更多跨文化对比研究，检验中国开发机器人脚本在东南亚多元文化课堂适配性。</w:t>
      </w:r>
    </w:p>
    <w:p>
      <w:pPr>
        <w:spacing w:after="120" w:line="360"/>
        <w:ind w:firstLine="480"/>
      </w:pPr>
      <w:r>
        <w:rPr>
          <w:rFonts w:ascii="Times New Roman" w:cs="Times New Roman" w:eastAsia="WenQuanYi Micro Hei" w:hAnsi="Times New Roman"/>
          <w:sz w:val="24"/>
          <w:szCs w:val="24"/>
        </w:rPr>
        <w:t xml:space="preserve">长期视角：人形机器人将成为智慧特殊教育生态其中一环，构建“教师专业评估–机器辅助干预–数据复盘–真人社会化巩固”完整闭环。但必须反复牢记：技术只是工具，孤独症儿童成长当中真人情感、真实社交体验永远不可替代。无论技术发展到何种程度，机器人都不能抢夺教育当中人的位置。</w:t>
      </w:r>
    </w:p>
    <w:p>
      <w:pPr>
        <w:pStyle w:val="Heading1"/>
        <w:pageBreakBefore/>
      </w:pPr>
      <w:r>
        <w:rPr>
          <w:rFonts w:ascii="Times New Roman" w:cs="Times New Roman" w:eastAsia="WenQuanYi Micro Hei" w:hAnsi="Times New Roman"/>
          <w:b/>
          <w:bCs/>
          <w:sz w:val="32"/>
          <w:szCs w:val="32"/>
        </w:rPr>
        <w:t xml:space="preserve">第七章　结论</w:t>
      </w:r>
    </w:p>
    <w:p>
      <w:pPr>
        <w:spacing w:after="120" w:line="360"/>
        <w:ind w:firstLine="480"/>
      </w:pPr>
      <w:r>
        <w:rPr>
          <w:rFonts w:ascii="Times New Roman" w:cs="Times New Roman" w:eastAsia="WenQuanYi Micro Hei" w:hAnsi="Times New Roman"/>
          <w:sz w:val="24"/>
          <w:szCs w:val="24"/>
        </w:rPr>
        <w:t xml:space="preserve">2026北京世界人形机器人运动会向世界展示中国人形机器人卓越硬件实力，硬件的飞跃引发我们思考技术向特殊教育场景迁移可能性。国家系列特殊教育、人工智能教育政策为人形机器人介入全纳课堂提供宏观法理基础。综合国内外（含马来西亚）共计32篇2021–2026实证文献分析，适龄化人形机器人在学龄ASD儿童攻击性行为干预当中具备独特正向价值：依靠零情绪对抗缓冲、高度标准化正向反馈、低压力交互环境、情绪先兆柔性纠偏、客观数据追踪五大机制，可以弥补纯人工干预模式受人力倦怠、情绪波动制约的固有短板，可以在教师管控之下成为ASD攻击行为干预有力辅助工具。</w:t>
      </w:r>
    </w:p>
    <w:p>
      <w:pPr>
        <w:spacing w:after="120" w:line="360"/>
        <w:ind w:firstLine="480"/>
      </w:pPr>
      <w:r>
        <w:rPr>
          <w:rFonts w:ascii="Times New Roman" w:cs="Times New Roman" w:eastAsia="WenQuanYi Micro Hei" w:hAnsi="Times New Roman"/>
          <w:sz w:val="24"/>
          <w:szCs w:val="24"/>
        </w:rPr>
        <w:t xml:space="preserve">但实证证据同时清晰揭示其固有限制：机器人无法自主完成行为功能评估，容易出现新奇效应带来假性改善，场景泛化迁移困难，面对危机行为完全失效。同时机器人干预伴随一系列不可忽视伦理风险：知情同意与儿童许可缺失、儿童敏感数据泄露风险、人机过度社交带来的温室效应、技术神化异化风险。因此人形机器人只能定位为辅助工具，绝对不能替代特教教师。本研究提出五条伦理实践原则与完整人机协同干预流程，坚持教师主导、机器辅助，真人社交占据主体地位。</w:t>
      </w:r>
    </w:p>
    <w:p>
      <w:pPr>
        <w:spacing w:after="120" w:line="360"/>
        <w:ind w:firstLine="480"/>
      </w:pPr>
      <w:r>
        <w:rPr>
          <w:rFonts w:ascii="Times New Roman" w:cs="Times New Roman" w:eastAsia="WenQuanYi Micro Hei" w:hAnsi="Times New Roman"/>
          <w:sz w:val="24"/>
          <w:szCs w:val="24"/>
        </w:rPr>
        <w:t xml:space="preserve">从跨文化视角看，中国与马来西亚全纳课堂都可以审慎探索人形机器人辅助干预，但不能直接照搬欧美实验室结论，需要积累本土实证数据，尊重本地文化观念。未来智慧特殊教育发展，不是追逐炫酷技术样机，而是坚持人本优先：让机器承担重复标准化辅助工作，把教师解放出来去做评估、情感滋养、真人社会化培育这些只有人才能完成的教育工作。技术的意义从来不是取代教育当中的人，而是守护特殊儿童更好走向真实社会。</w:t>
      </w:r>
    </w:p>
    <w:p>
      <w:pPr>
        <w:pStyle w:val="Heading1"/>
        <w:pageBreakBefore/>
        <w:jc w:val="center"/>
      </w:pPr>
      <w:r>
        <w:rPr>
          <w:rFonts w:ascii="Times New Roman" w:cs="Times New Roman" w:eastAsia="WenQuanYi Micro Hei" w:hAnsi="Times New Roman"/>
          <w:b/>
          <w:bCs/>
          <w:sz w:val="30"/>
          <w:szCs w:val="30"/>
        </w:rPr>
        <w:t xml:space="preserve">References</w:t>
      </w:r>
    </w:p>
    <w:p>
      <w:pPr>
        <w:spacing w:after="60" w:line="360"/>
        <w:ind w:left="720" w:hanging="720"/>
      </w:pPr>
      <w:r>
        <w:rPr>
          <w:rFonts w:ascii="Times New Roman" w:cs="Times New Roman" w:eastAsia="WenQuanYi Micro Hei" w:hAnsi="Times New Roman"/>
          <w:sz w:val="24"/>
          <w:szCs w:val="24"/>
        </w:rPr>
        <w:t xml:space="preserve">Efstratiou, R., Karatsioras, C., Papadopoulou, M., &amp; Avradinis, N. (2020). Teaching daily life skills in autism spectrum disorder (ASD) interventions using the social robot Pepper. In </w:t>
      </w:r>
      <w:r>
        <w:rPr>
          <w:rFonts w:ascii="Times New Roman" w:cs="Times New Roman" w:eastAsia="WenQuanYi Micro Hei" w:hAnsi="Times New Roman"/>
          <w:i/>
          <w:iCs/>
          <w:sz w:val="24"/>
          <w:szCs w:val="24"/>
        </w:rPr>
        <w:t xml:space="preserve">Robotics in Education</w:t>
      </w:r>
      <w:r>
        <w:rPr>
          <w:rFonts w:ascii="Times New Roman" w:cs="Times New Roman" w:eastAsia="WenQuanYi Micro Hei" w:hAnsi="Times New Roman"/>
          <w:sz w:val="24"/>
          <w:szCs w:val="24"/>
        </w:rPr>
        <w:t xml:space="preserve"> (pp. 86–97). Springer.</w:t>
      </w:r>
    </w:p>
    <w:p>
      <w:pPr>
        <w:spacing w:after="60" w:line="360"/>
        <w:ind w:left="720" w:hanging="720"/>
      </w:pPr>
      <w:r>
        <w:rPr>
          <w:rFonts w:ascii="Times New Roman" w:cs="Times New Roman" w:eastAsia="WenQuanYi Micro Hei" w:hAnsi="Times New Roman"/>
          <w:sz w:val="24"/>
          <w:szCs w:val="24"/>
        </w:rPr>
        <w:t xml:space="preserve">Feng, H., Yang, Q., Lu, H., &amp; Gong, S. (2026). Classroom performance of students with autism in interaction with the NAO robot. </w:t>
      </w:r>
      <w:r>
        <w:rPr>
          <w:rFonts w:ascii="Times New Roman" w:cs="Times New Roman" w:eastAsia="WenQuanYi Micro Hei" w:hAnsi="Times New Roman"/>
          <w:i/>
          <w:iCs/>
          <w:sz w:val="24"/>
          <w:szCs w:val="24"/>
        </w:rPr>
        <w:t xml:space="preserve">Frontiers of Digital Education, 3</w:t>
      </w:r>
      <w:r>
        <w:rPr>
          <w:rFonts w:ascii="Times New Roman" w:cs="Times New Roman" w:eastAsia="WenQuanYi Micro Hei" w:hAnsi="Times New Roman"/>
          <w:sz w:val="24"/>
          <w:szCs w:val="24"/>
        </w:rPr>
        <w:t xml:space="preserve">(2), 9.</w:t>
      </w:r>
    </w:p>
    <w:p>
      <w:pPr>
        <w:spacing w:after="60" w:line="360"/>
        <w:ind w:left="720" w:hanging="720"/>
      </w:pPr>
      <w:r>
        <w:rPr>
          <w:rFonts w:ascii="Times New Roman" w:cs="Times New Roman" w:eastAsia="WenQuanYi Micro Hei" w:hAnsi="Times New Roman"/>
          <w:sz w:val="24"/>
          <w:szCs w:val="24"/>
        </w:rPr>
        <w:t xml:space="preserve">Ghiglino, D., Floris, F., De Tommaso, D., Severino Russi, N., Frulli, A., Moretti, S., &amp; Wykowska, A. (2025). Enhancing theory of mind in autism through humanoid robot interaction in a randomized controlled trial. </w:t>
      </w:r>
      <w:r>
        <w:rPr>
          <w:rFonts w:ascii="Times New Roman" w:cs="Times New Roman" w:eastAsia="WenQuanYi Micro Hei" w:hAnsi="Times New Roman"/>
          <w:i/>
          <w:iCs/>
          <w:sz w:val="24"/>
          <w:szCs w:val="24"/>
        </w:rPr>
        <w:t xml:space="preserve">Scientific Reports, 15</w:t>
      </w:r>
      <w:r>
        <w:rPr>
          <w:rFonts w:ascii="Times New Roman" w:cs="Times New Roman" w:eastAsia="WenQuanYi Micro Hei" w:hAnsi="Times New Roman"/>
          <w:sz w:val="24"/>
          <w:szCs w:val="24"/>
        </w:rPr>
        <w:t xml:space="preserve">(1), 27650.</w:t>
      </w:r>
    </w:p>
    <w:p>
      <w:pPr>
        <w:spacing w:after="60" w:line="360"/>
        <w:ind w:left="720" w:hanging="720"/>
      </w:pPr>
      <w:r>
        <w:rPr>
          <w:rFonts w:ascii="Times New Roman" w:cs="Times New Roman" w:eastAsia="WenQuanYi Micro Hei" w:hAnsi="Times New Roman"/>
          <w:sz w:val="24"/>
          <w:szCs w:val="24"/>
        </w:rPr>
        <w:t xml:space="preserve">Jürgensen, M., Kubina, R. M., &amp; Leitao, N. D. L. (2026). Using a socially assistive robot to improve attention in children with autism during academic instruction. </w:t>
      </w:r>
      <w:r>
        <w:rPr>
          <w:rFonts w:ascii="Times New Roman" w:cs="Times New Roman" w:eastAsia="WenQuanYi Micro Hei" w:hAnsi="Times New Roman"/>
          <w:i/>
          <w:iCs/>
          <w:sz w:val="24"/>
          <w:szCs w:val="24"/>
        </w:rPr>
        <w:t xml:space="preserve">International Journal of Social Robotics, 18</w:t>
      </w:r>
      <w:r>
        <w:rPr>
          <w:rFonts w:ascii="Times New Roman" w:cs="Times New Roman" w:eastAsia="WenQuanYi Micro Hei" w:hAnsi="Times New Roman"/>
          <w:sz w:val="24"/>
          <w:szCs w:val="24"/>
        </w:rPr>
        <w:t xml:space="preserve">(3), 40.</w:t>
      </w:r>
    </w:p>
    <w:p>
      <w:pPr>
        <w:spacing w:after="60" w:line="360"/>
        <w:ind w:left="720" w:hanging="720"/>
      </w:pPr>
      <w:r>
        <w:rPr>
          <w:rFonts w:ascii="Times New Roman" w:cs="Times New Roman" w:eastAsia="WenQuanYi Micro Hei" w:hAnsi="Times New Roman"/>
          <w:sz w:val="24"/>
          <w:szCs w:val="24"/>
        </w:rPr>
        <w:t xml:space="preserve">Moganadas, S., Holthaus, P., Lakatos, G., Robins, B., &amp; Amirbdollahian, F. (2025). An exploratory study on humanoid robot KASPAR in supporting social skills for children with ASD in Malaysia. </w:t>
      </w:r>
      <w:r>
        <w:rPr>
          <w:rFonts w:ascii="Times New Roman" w:cs="Times New Roman" w:eastAsia="WenQuanYi Micro Hei" w:hAnsi="Times New Roman"/>
          <w:i/>
          <w:iCs/>
          <w:sz w:val="24"/>
          <w:szCs w:val="24"/>
        </w:rPr>
        <w:t xml:space="preserve">Proceedings of the 17th International Conference on Social Robotics</w:t>
      </w:r>
      <w:r>
        <w:rPr>
          <w:rFonts w:ascii="Times New Roman" w:cs="Times New Roman" w:eastAsia="WenQuanYi Micro Hei" w:hAnsi="Times New Roman"/>
          <w:sz w:val="24"/>
          <w:szCs w:val="24"/>
        </w:rPr>
        <w:t xml:space="preserve">.</w:t>
      </w:r>
    </w:p>
    <w:p>
      <w:pPr>
        <w:spacing w:after="60" w:line="360"/>
        <w:ind w:left="720" w:hanging="720"/>
      </w:pPr>
      <w:r>
        <w:rPr>
          <w:rFonts w:ascii="Times New Roman" w:cs="Times New Roman" w:eastAsia="WenQuanYi Micro Hei" w:hAnsi="Times New Roman"/>
          <w:sz w:val="24"/>
          <w:szCs w:val="24"/>
        </w:rPr>
        <w:t xml:space="preserve">Salimi, Z., Kalantari, S., &amp; Bouyer, J. (2021). Social robots: A promising tool to support people with autism—A systematic review. </w:t>
      </w:r>
      <w:r>
        <w:rPr>
          <w:rFonts w:ascii="Times New Roman" w:cs="Times New Roman" w:eastAsia="WenQuanYi Micro Hei" w:hAnsi="Times New Roman"/>
          <w:i/>
          <w:iCs/>
          <w:sz w:val="24"/>
          <w:szCs w:val="24"/>
        </w:rPr>
        <w:t xml:space="preserve">Journal of Clinical Medicine, 10</w:t>
      </w:r>
      <w:r>
        <w:rPr>
          <w:rFonts w:ascii="Times New Roman" w:cs="Times New Roman" w:eastAsia="WenQuanYi Micro Hei" w:hAnsi="Times New Roman"/>
          <w:sz w:val="24"/>
          <w:szCs w:val="24"/>
        </w:rPr>
        <w:t xml:space="preserve">(13), 2882.</w:t>
      </w:r>
    </w:p>
    <w:p>
      <w:pPr>
        <w:spacing w:after="60" w:line="360"/>
        <w:ind w:left="720" w:hanging="720"/>
      </w:pPr>
      <w:r>
        <w:rPr>
          <w:rFonts w:ascii="Times New Roman" w:cs="Times New Roman" w:eastAsia="WenQuanYi Micro Hei" w:hAnsi="Times New Roman"/>
          <w:sz w:val="24"/>
          <w:szCs w:val="24"/>
        </w:rPr>
        <w:t xml:space="preserve">So, W.-C., Wong, M.-K., &amp; Lam, C.-K. (2024). Robot-assisted gesture training for children with autism spectrum disorder: A randomized controlled study. </w:t>
      </w:r>
      <w:r>
        <w:rPr>
          <w:rFonts w:ascii="Times New Roman" w:cs="Times New Roman" w:eastAsia="WenQuanYi Micro Hei" w:hAnsi="Times New Roman"/>
          <w:i/>
          <w:iCs/>
          <w:sz w:val="24"/>
          <w:szCs w:val="24"/>
        </w:rPr>
        <w:t xml:space="preserve">Journal of Autism and Developmental Disorders, 54</w:t>
      </w:r>
      <w:r>
        <w:rPr>
          <w:rFonts w:ascii="Times New Roman" w:cs="Times New Roman" w:eastAsia="WenQuanYi Micro Hei" w:hAnsi="Times New Roman"/>
          <w:sz w:val="24"/>
          <w:szCs w:val="24"/>
        </w:rPr>
        <w:t xml:space="preserve">(4), 1342–1356.</w:t>
      </w:r>
    </w:p>
    <w:p>
      <w:pPr>
        <w:spacing w:after="60" w:line="360"/>
        <w:ind w:left="720" w:hanging="720"/>
      </w:pPr>
      <w:r>
        <w:rPr>
          <w:rFonts w:ascii="Times New Roman" w:cs="Times New Roman" w:eastAsia="WenQuanYi Micro Hei" w:hAnsi="Times New Roman"/>
          <w:sz w:val="24"/>
          <w:szCs w:val="24"/>
        </w:rPr>
        <w:t xml:space="preserve">Ministry of Industry and Information Technology of China [工业和信息化部]. (2026). </w:t>
      </w:r>
      <w:r>
        <w:rPr>
          <w:rFonts w:ascii="Times New Roman" w:cs="Times New Roman" w:eastAsia="WenQuanYi Micro Hei" w:hAnsi="Times New Roman"/>
          <w:i/>
          <w:iCs/>
          <w:sz w:val="24"/>
          <w:szCs w:val="24"/>
        </w:rPr>
        <w:t xml:space="preserve">2026 World Humanoid Robot Games technical white paper</w:t>
      </w:r>
      <w:r>
        <w:rPr>
          <w:rFonts w:ascii="Times New Roman" w:cs="Times New Roman" w:eastAsia="WenQuanYi Micro Hei" w:hAnsi="Times New Roman"/>
          <w:sz w:val="24"/>
          <w:szCs w:val="24"/>
        </w:rPr>
        <w:t xml:space="preserve"> [in Chinese]. Beijing: Department of Equipment Industry I, MIIT.</w:t>
      </w:r>
    </w:p>
    <w:p>
      <w:pPr>
        <w:spacing w:after="60" w:line="360"/>
        <w:ind w:left="720" w:hanging="720"/>
      </w:pPr>
      <w:r>
        <w:rPr>
          <w:rFonts w:ascii="Times New Roman" w:cs="Times New Roman" w:eastAsia="WenQuanYi Micro Hei" w:hAnsi="Times New Roman"/>
          <w:sz w:val="24"/>
          <w:szCs w:val="24"/>
        </w:rPr>
        <w:t xml:space="preserve">The Ministry of Education of the People’s Republic of China, et al. (2026). </w:t>
      </w:r>
      <w:r>
        <w:rPr>
          <w:rFonts w:ascii="Times New Roman" w:cs="Times New Roman" w:eastAsia="WenQuanYi Micro Hei" w:hAnsi="Times New Roman"/>
          <w:i/>
          <w:iCs/>
          <w:sz w:val="24"/>
          <w:szCs w:val="24"/>
        </w:rPr>
        <w:t xml:space="preserve">Action plan “Artificial intelligence plus education”</w:t>
      </w:r>
      <w:r>
        <w:rPr>
          <w:rFonts w:ascii="Times New Roman" w:cs="Times New Roman" w:eastAsia="WenQuanYi Micro Hei" w:hAnsi="Times New Roman"/>
          <w:sz w:val="24"/>
          <w:szCs w:val="24"/>
        </w:rPr>
        <w:t xml:space="preserve"> (教科信〔2026〕1号) [in Chinese].</w:t>
      </w:r>
    </w:p>
    <w:p>
      <w:pPr>
        <w:spacing w:after="60" w:line="360"/>
        <w:ind w:left="720" w:hanging="720"/>
      </w:pPr>
      <w:r>
        <w:rPr>
          <w:rFonts w:ascii="Times New Roman" w:cs="Times New Roman" w:eastAsia="WenQuanYi Micro Hei" w:hAnsi="Times New Roman"/>
          <w:sz w:val="24"/>
          <w:szCs w:val="24"/>
        </w:rPr>
        <w:t xml:space="preserve">The Ministry of Education of the People’s Republic of China, et al. (2026). </w:t>
      </w:r>
      <w:r>
        <w:rPr>
          <w:rFonts w:ascii="Times New Roman" w:cs="Times New Roman" w:eastAsia="WenQuanYi Micro Hei" w:hAnsi="Times New Roman"/>
          <w:i/>
          <w:iCs/>
          <w:sz w:val="24"/>
          <w:szCs w:val="24"/>
        </w:rPr>
        <w:t xml:space="preserve">Special education development enhancement “15th Five-Year plan” action plan</w:t>
      </w:r>
      <w:r>
        <w:rPr>
          <w:rFonts w:ascii="Times New Roman" w:cs="Times New Roman" w:eastAsia="WenQuanYi Micro Hei" w:hAnsi="Times New Roman"/>
          <w:sz w:val="24"/>
          <w:szCs w:val="24"/>
        </w:rPr>
        <w:t xml:space="preserve"> (教基〔2026〕9号) [in Chinese].</w:t>
      </w:r>
    </w:p>
    <w:p>
      <w:pPr>
        <w:spacing w:after="120" w:before="240"/>
      </w:pPr>
      <w:r>
        <w:rPr>
          <w:rFonts w:ascii="Times New Roman" w:cs="Times New Roman" w:eastAsia="WenQuanYi Micro Hei" w:hAnsi="Times New Roman"/>
          <w:b/>
          <w:bCs/>
          <w:sz w:val="26"/>
          <w:szCs w:val="26"/>
        </w:rPr>
        <w:t xml:space="preserve">中文文献（Chinese sources）</w:t>
      </w:r>
    </w:p>
    <w:p>
      <w:pPr>
        <w:spacing w:after="60" w:line="360"/>
        <w:ind w:left="720" w:hanging="720"/>
      </w:pPr>
      <w:r>
        <w:rPr>
          <w:rFonts w:ascii="Times New Roman" w:cs="Times New Roman" w:eastAsia="WenQuanYi Micro Hei" w:hAnsi="Times New Roman"/>
          <w:sz w:val="24"/>
          <w:szCs w:val="24"/>
        </w:rPr>
        <w:t xml:space="preserve">冯学珍、关文军、徐恩伟（2026）：生成式人工智能教学对学前特殊儿童社会情感能力有影响吗？——基于国际36项实验与准实验研究的元分析。《</w:t>
      </w:r>
      <w:r>
        <w:rPr>
          <w:rFonts w:ascii="Times New Roman" w:cs="Times New Roman" w:eastAsia="WenQuanYi Micro Hei" w:hAnsi="Times New Roman"/>
          <w:i/>
          <w:iCs/>
          <w:sz w:val="24"/>
          <w:szCs w:val="24"/>
        </w:rPr>
        <w:t xml:space="preserve">学前教育研究</w:t>
      </w:r>
      <w:r>
        <w:rPr>
          <w:rFonts w:ascii="Times New Roman" w:cs="Times New Roman" w:eastAsia="WenQuanYi Micro Hei" w:hAnsi="Times New Roman"/>
          <w:sz w:val="24"/>
          <w:szCs w:val="24"/>
        </w:rPr>
        <w:t xml:space="preserve">》，(1)，71–86。</w:t>
      </w:r>
    </w:p>
    <w:p>
      <w:pPr>
        <w:spacing w:after="60" w:line="360"/>
        <w:ind w:left="720" w:hanging="720"/>
      </w:pPr>
      <w:r>
        <w:rPr>
          <w:rFonts w:ascii="Times New Roman" w:cs="Times New Roman" w:eastAsia="WenQuanYi Micro Hei" w:hAnsi="Times New Roman"/>
          <w:sz w:val="24"/>
          <w:szCs w:val="24"/>
        </w:rPr>
        <w:t xml:space="preserve">向松柏、王崇高、林宛儒（2024）：社交机器人对孤独症儿童社会性发展干预效果的元分析。《</w:t>
      </w:r>
      <w:r>
        <w:rPr>
          <w:rFonts w:ascii="Times New Roman" w:cs="Times New Roman" w:eastAsia="WenQuanYi Micro Hei" w:hAnsi="Times New Roman"/>
          <w:i/>
          <w:iCs/>
          <w:sz w:val="24"/>
          <w:szCs w:val="24"/>
        </w:rPr>
        <w:t xml:space="preserve">中国特殊教育</w:t>
      </w:r>
      <w:r>
        <w:rPr>
          <w:rFonts w:ascii="Times New Roman" w:cs="Times New Roman" w:eastAsia="WenQuanYi Micro Hei" w:hAnsi="Times New Roman"/>
          <w:sz w:val="24"/>
          <w:szCs w:val="24"/>
        </w:rPr>
        <w:t xml:space="preserve">》，(12)，21–31。</w:t>
      </w:r>
    </w:p>
    <w:p>
      <w:pPr>
        <w:spacing w:after="60" w:line="360"/>
        <w:ind w:left="720" w:hanging="720"/>
      </w:pPr>
      <w:r>
        <w:rPr>
          <w:rFonts w:ascii="Times New Roman" w:cs="Times New Roman" w:eastAsia="WenQuanYi Micro Hei" w:hAnsi="Times New Roman"/>
          <w:sz w:val="24"/>
          <w:szCs w:val="24"/>
        </w:rPr>
        <w:t xml:space="preserve">周沛、詹泽慧（2025）：人工智能何以赋能特殊学生个性化学习。《</w:t>
      </w:r>
      <w:r>
        <w:rPr>
          <w:rFonts w:ascii="Times New Roman" w:cs="Times New Roman" w:eastAsia="WenQuanYi Micro Hei" w:hAnsi="Times New Roman"/>
          <w:i/>
          <w:iCs/>
          <w:sz w:val="24"/>
          <w:szCs w:val="24"/>
        </w:rPr>
        <w:t xml:space="preserve">现代特殊教育</w:t>
      </w:r>
      <w:r>
        <w:rPr>
          <w:rFonts w:ascii="Times New Roman" w:cs="Times New Roman" w:eastAsia="WenQuanYi Micro Hei" w:hAnsi="Times New Roman"/>
          <w:sz w:val="24"/>
          <w:szCs w:val="24"/>
        </w:rPr>
        <w:t xml:space="preserve">》，(24)，30–36。</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WenQuanYi Micro Hei" w:hAnsi="Times New Roman"/>
        <w:sz w:val="20"/>
        <w:szCs w:val="20"/>
      </w:rPr>
      <w:t xml:space="preserve">人形机器人与孤独症儿童攻击行为干预</w:t>
    </w:r>
    <w:r>
      <w:rPr>
        <w:rFonts w:ascii="Times New Roman" w:cs="Times New Roman" w:eastAsia="WenQuanYi Micro Hei" w:hAnsi="Times New Roman"/>
        <w:sz w:val="20"/>
        <w:szCs w:val="20"/>
      </w:rPr>
      <w:t xml:space="preserve">　·　</w:t>
    </w:r>
    <w:r>
      <w:rPr>
        <w:rFonts w:ascii="Times New Roman" w:cs="Times New Roman" w:eastAsia="WenQuanYi Micro Hei"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WenQuanYi Micro Hei"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Times New Roman" w:cs="Times New Roman" w:eastAsia="WenQuanYi Micro Hei" w:hAnsi="Times New Roman"/>
      <w:b/>
      <w:bCs/>
      <w:sz w:val="32"/>
      <w:szCs w:val="32"/>
    </w:rPr>
  </w:style>
  <w:style w:type="paragraph" w:styleId="Heading2">
    <w:name w:val="Heading 2"/>
    <w:basedOn w:val="Normal"/>
    <w:next w:val="Normal"/>
    <w:qFormat/>
    <w:pPr>
      <w:spacing w:after="180" w:before="240"/>
      <w:outlineLvl w:val="1"/>
    </w:pPr>
    <w:rPr>
      <w:rFonts w:ascii="Times New Roman" w:cs="Times New Roman" w:eastAsia="WenQuanYi Micro Hei" w:hAnsi="Times New Roman"/>
      <w:b/>
      <w:bCs/>
      <w:sz w:val="28"/>
      <w:szCs w:val="28"/>
    </w:rPr>
  </w:style>
  <w:style w:type="paragraph" w:styleId="Heading3">
    <w:name w:val="Heading 3"/>
    <w:basedOn w:val="Normal"/>
    <w:next w:val="Normal"/>
    <w:qFormat/>
    <w:pPr>
      <w:spacing w:after="120" w:before="180"/>
      <w:outlineLvl w:val="2"/>
    </w:pPr>
    <w:rPr>
      <w:rFonts w:ascii="Times New Roman" w:cs="Times New Roman" w:eastAsia="WenQuanYi Micro Hei" w:hAnsi="Times New Roman"/>
      <w:b/>
      <w:bCs/>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2026-09-03T01:41:08.286Z</dcterms:created>
  <dcterms:modified xsi:type="dcterms:W3CDTF">2026-09-03T01:41:08.287Z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{"Label":"1","ContentProducer":"001191440300708461136T1WFUO","ProduceID":"3be447b6db311173f94526b8fc0fc5d9-yRYx","ReservedCode1":"{\"Type\":\" TC260PG\",\"Version\":1,\"Bindings\":[{\"Type\":\"soft\",\"AlgID\":\"sm3\",\"Value\":\"cf0ae20a7c193979b2d064bd1ed2d5e4410e048898c43dc4c26fcd48d10eae9f\"},{\"Type\":\"hash\",\"AlgID\":\"sm3\",\"Value\":\"8d2c30ec771e9b5afa319e9b259cd5d34c568eeac0c67a42c0d9bab14990d01d\"}],\"PubSD\":[{\"Type\":\"DS\",\"AlgID\":\"sm2\",\"TBSData\":{\"Type\":\"Binding\",\"BType\":\"hash\"},\"Signature\":\"3045022100a307568518190bf091e2b8091bb67c84eb54d2f9875c59fc0b5bc4a56ede03b2022027dc2e3618d6d52d3a03cc853ff0453222030e6feb21f2626c3be203e294b6e4\"},{\"Type\":\"PubKey\",\"AlgID\":\"sm2\",\"KeyValue\":\"0407f79b28a17a752b3aae4305c98b48978213832729a2571850b1310b2bc9fe8fee039ccf25ebfeac27502414d9fcef792d777183c98893d226171c2f7a3289a2\"}],\"Extension\":{\"Timestamp\":1788399712,\"KeyVersion\":\"v1-TxLeOmf7bqU223\"}}","ContentPropagator":"001191440300708461136T1WFUO","PropagateID":"3be447b6db311173f94526b8fc0fc5d9-yRYx","ReservedCode2":"{\"Type\":\" TC260PG\",\"Version\":1,\"Bindings\":[{\"Type\":\"soft\",\"AlgID\":\"sm3\",\"Value\":\"cf0ae20a7c193979b2d064bd1ed2d5e4410e048898c43dc4c26fcd48d10eae9f\"},{\"Type\":\"hash\",\"AlgID\":\"sm3\",\"Value\":\"8d2c30ec771e9b5afa319e9b259cd5d34c568eeac0c67a42c0d9bab14990d01d\"}],\"PubSD\":[{\"Type\":\"DS\",\"AlgID\":\"sm2\",\"TBSData\":{\"Type\":\"Binding\",\"BType\":\"hash\"},\"Signature\":\"3046022100c0d740c2267252d245adf28b1671f87b841cd4ba02d1b9d6dcef57bd06ddab98022100d1295b7185c82e9a903b61623629b6b1c6963cd989f731e1de5712171d7b7c5e\"},{\"Type\":\"PubKey\",\"AlgID\":\"sm2\",\"KeyValue\":\"0407f79b28a17a752b3aae4305c98b48978213832729a2571850b1310b2bc9fe8fee039ccf25ebfeac27502414d9fcef792d777183c98893d226171c2f7a3289a2\"}],\"Extension\":{\"Timestamp\":1788399712,\"KeyVersion\":\"v1-TxLeOmf7bqU223\"}}"}</vt:lpwstr>
  </property>
</Properties>
</file>