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8CB385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用例图示例：</w:t>
      </w:r>
    </w:p>
    <w:p w14:paraId="602D0282">
      <w:r>
        <w:drawing>
          <wp:inline distT="0" distB="0" distL="114300" distR="114300">
            <wp:extent cx="4733925" cy="2028825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33925" cy="202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C12A0">
      <w:pPr>
        <w:rPr>
          <w:rFonts w:hint="default" w:eastAsiaTheme="minorEastAsia"/>
          <w:b/>
          <w:bCs/>
          <w:color w:val="0000FF"/>
          <w:sz w:val="36"/>
          <w:szCs w:val="44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44"/>
          <w:lang w:eastAsia="zh-CN"/>
        </w:rPr>
        <w:t>（</w:t>
      </w: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2</w:t>
      </w:r>
      <w:r>
        <w:rPr>
          <w:rFonts w:hint="eastAsia"/>
          <w:b/>
          <w:bCs/>
          <w:color w:val="0000FF"/>
          <w:sz w:val="36"/>
          <w:szCs w:val="44"/>
          <w:lang w:eastAsia="zh-CN"/>
        </w:rPr>
        <w:t>）</w:t>
      </w: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包含关系</w:t>
      </w:r>
    </w:p>
    <w:p w14:paraId="0E6EA72E">
      <w:r>
        <w:drawing>
          <wp:inline distT="0" distB="0" distL="114300" distR="114300">
            <wp:extent cx="3209925" cy="158115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20992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80F09C">
      <w:pPr>
        <w:rPr>
          <w:rFonts w:hint="default"/>
          <w:b/>
          <w:bCs/>
          <w:color w:val="0000FF"/>
          <w:sz w:val="36"/>
          <w:szCs w:val="44"/>
          <w:lang w:val="en-US" w:eastAsia="zh-CN"/>
        </w:rPr>
      </w:pPr>
      <w:r>
        <w:rPr>
          <w:rFonts w:hint="eastAsia"/>
          <w:b/>
          <w:bCs/>
          <w:color w:val="0000FF"/>
          <w:sz w:val="36"/>
          <w:szCs w:val="44"/>
          <w:lang w:eastAsia="zh-CN"/>
        </w:rPr>
        <w:t>（</w:t>
      </w: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3</w:t>
      </w:r>
      <w:r>
        <w:rPr>
          <w:rFonts w:hint="eastAsia"/>
          <w:b/>
          <w:bCs/>
          <w:color w:val="0000FF"/>
          <w:sz w:val="36"/>
          <w:szCs w:val="44"/>
          <w:lang w:eastAsia="zh-CN"/>
        </w:rPr>
        <w:t>）</w:t>
      </w:r>
      <w:r>
        <w:rPr>
          <w:rFonts w:hint="eastAsia"/>
          <w:b/>
          <w:bCs/>
          <w:color w:val="0000FF"/>
          <w:sz w:val="36"/>
          <w:szCs w:val="44"/>
          <w:lang w:val="en-US" w:eastAsia="zh-CN"/>
        </w:rPr>
        <w:t>扩展关系</w:t>
      </w:r>
    </w:p>
    <w:p w14:paraId="2B930115">
      <w:r>
        <w:drawing>
          <wp:inline distT="0" distB="0" distL="114300" distR="114300">
            <wp:extent cx="3581400" cy="21145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211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FBFBC">
      <w:pPr>
        <w:rPr>
          <w:rFonts w:hint="default"/>
          <w:lang w:val="en-US" w:eastAsia="zh-CN"/>
        </w:rPr>
      </w:pPr>
    </w:p>
    <w:p w14:paraId="0E2115A6">
      <w:pPr>
        <w:rPr>
          <w:rFonts w:hint="eastAsia"/>
          <w:lang w:val="en-US" w:eastAsia="zh-CN"/>
        </w:rPr>
      </w:pPr>
    </w:p>
    <w:p w14:paraId="7DA02A0E">
      <w:pPr>
        <w:rPr>
          <w:rFonts w:hint="eastAsia"/>
          <w:lang w:val="en-US" w:eastAsia="zh-CN"/>
        </w:rPr>
      </w:pPr>
    </w:p>
    <w:p w14:paraId="47495EBF">
      <w:pPr>
        <w:rPr>
          <w:rFonts w:hint="eastAsia"/>
          <w:lang w:val="en-US" w:eastAsia="zh-CN"/>
        </w:rPr>
      </w:pPr>
    </w:p>
    <w:p w14:paraId="7A645F49">
      <w:pPr>
        <w:rPr>
          <w:rFonts w:hint="eastAsia"/>
          <w:lang w:val="en-US" w:eastAsia="zh-CN"/>
        </w:rPr>
      </w:pPr>
    </w:p>
    <w:p w14:paraId="10D7D8C3">
      <w:pPr>
        <w:rPr>
          <w:rFonts w:hint="eastAsia"/>
          <w:lang w:val="en-US" w:eastAsia="zh-CN"/>
        </w:rPr>
      </w:pPr>
    </w:p>
    <w:p w14:paraId="4210D308">
      <w:pPr>
        <w:rPr>
          <w:rFonts w:hint="eastAsia"/>
          <w:lang w:val="en-US" w:eastAsia="zh-CN"/>
        </w:rPr>
      </w:pPr>
    </w:p>
    <w:p w14:paraId="5CECA4CB">
      <w:pPr>
        <w:rPr>
          <w:rFonts w:hint="eastAsia"/>
          <w:lang w:val="en-US" w:eastAsia="zh-CN"/>
        </w:rPr>
      </w:pPr>
    </w:p>
    <w:p w14:paraId="0D1C3024">
      <w:pPr>
        <w:rPr>
          <w:rFonts w:hint="eastAsia"/>
          <w:lang w:val="en-US" w:eastAsia="zh-CN"/>
        </w:rPr>
      </w:pPr>
    </w:p>
    <w:p w14:paraId="269AA529">
      <w:pPr>
        <w:pStyle w:val="2"/>
        <w:bidi w:val="0"/>
        <w:rPr>
          <w:rFonts w:hint="eastAsia"/>
          <w:lang w:val="en-US" w:eastAsia="zh-CN"/>
        </w:rPr>
      </w:pPr>
      <w:bookmarkStart w:id="0" w:name="_GoBack"/>
      <w:r>
        <w:rPr>
          <w:rFonts w:hint="eastAsia"/>
          <w:lang w:val="en-US" w:eastAsia="zh-CN"/>
        </w:rPr>
        <w:t>作业：</w:t>
      </w:r>
    </w:p>
    <w:bookmarkEnd w:id="0"/>
    <w:p w14:paraId="4B8B119C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假设我们要设计一个简单的图书馆管理系统的用例图，主要功能包括借书，还书和查询图书馆藏书等。</w:t>
      </w:r>
    </w:p>
    <w:p w14:paraId="4D927EA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（1）参与者：图书管理员、读者。</w:t>
      </w:r>
    </w:p>
    <w:p w14:paraId="6A6AFA06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（2）用例：登录系统、借书，还书、查询图书馆藏书、查询借阅记录。</w:t>
      </w:r>
    </w:p>
    <w:p w14:paraId="2FC9A5DE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（3）建立关联关系：图书管理员登录系统后可以查询图书馆藏书；读者登录系统后可以查询图书馆藏书、借书和还书。</w:t>
      </w:r>
    </w:p>
    <w:p w14:paraId="1175DE24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（4）确定包含、扩展关系：借书，还书、查询图书馆藏书均包含登录系统；还书可以扩展查询借阅记录。</w:t>
      </w:r>
    </w:p>
    <w:p w14:paraId="3BC7EC83"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（5）添加系统边界：用一个长方形将所有的参与者和用例包围在内，表示系统边界。</w:t>
      </w:r>
    </w:p>
    <w:p w14:paraId="3C60AA66"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9F5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2026-10-19T15:24:37Z</dcterms:created>
  <dc:creator>hp</dc:creator>
  <cp:lastModifiedBy>wzldavid</cp:lastModifiedBy>
  <dcterms:modified xsi:type="dcterms:W3CDTF">2026-10-19T15:28:39Z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eyJoZGlkIjoiYTczNGZkOTUwZWQ2YzAxMjAxYWRmN2M3YTgzMjk3M2EiLCJ1c2VySWQiOiI2ODE5OTk3MDUifQ==</vt:lpwstr>
  </property>
  <property fmtid="{D5CDD505-2E9C-101B-9397-08002B2CF9AE}" pid="4" name="ICV">
    <vt:lpwstr>134B390F901F47FEBB4E3D9D584A4A61_12</vt:lpwstr>
  </property>
</Properties>
</file>