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480"/>
      </w:pPr>
      <w:r>
        <w:t xml:space="preserve"/>
      </w:r>
    </w:p>
    <w:p>
      <w:pPr>
        <w:spacing w:after="80" w:before="0"/>
        <w:jc w:val="center"/>
      </w:pPr>
      <w:r>
        <w:rPr>
          <w:rFonts w:ascii="Arial" w:cs="Arial" w:eastAsia="Arial" w:hAnsi="Arial"/>
          <w:b/>
          <w:bCs/>
          <w:color w:val="1E3A5F"/>
          <w:sz w:val="52"/>
          <w:szCs w:val="52"/>
        </w:rPr>
        <w:t xml:space="preserve">阿里巴巴国际站</w:t>
      </w:r>
    </w:p>
    <w:p>
      <w:pPr>
        <w:spacing w:after="160" w:before="0"/>
        <w:jc w:val="center"/>
      </w:pPr>
      <w:r>
        <w:rPr>
          <w:rFonts w:ascii="Arial" w:cs="Arial" w:eastAsia="Arial" w:hAnsi="Arial"/>
          <w:b/>
          <w:bCs/>
          <w:color w:val="2C5F8A"/>
          <w:sz w:val="44"/>
          <w:szCs w:val="44"/>
        </w:rPr>
        <w:t xml:space="preserve">专业运营诊断 Skill 说明文档</w:t>
      </w:r>
    </w:p>
    <w:p>
      <w:pPr>
        <w:spacing w:after="80" w:before="0"/>
        <w:jc w:val="center"/>
      </w:pPr>
      <w:r>
        <w:rPr>
          <w:rFonts w:ascii="Arial" w:cs="Arial" w:eastAsia="Arial" w:hAnsi="Arial"/>
          <w:color w:val="888888"/>
          <w:sz w:val="24"/>
          <w:szCs w:val="24"/>
        </w:rPr>
        <w:t xml:space="preserve">alibaba-operations-diagnostics</w:t>
      </w:r>
    </w:p>
    <w:p>
      <w:pPr>
        <w:spacing w:after="480" w:before="0"/>
        <w:jc w:val="center"/>
      </w:pPr>
      <w:r>
        <w:rPr>
          <w:rFonts w:ascii="Arial" w:cs="Arial" w:eastAsia="Arial" w:hAnsi="Arial"/>
          <w:color w:val="AAAAAA"/>
          <w:sz w:val="22"/>
          <w:szCs w:val="22"/>
        </w:rPr>
        <w:t xml:space="preserve">版本 1.0 · 2026年4月</w:t>
      </w:r>
    </w:p>
    <w:p>
      <w:pPr>
        <w:pBdr>
          <w:bottom w:val="single" w:color="CCCCCC" w:sz="2" w:space="2"/>
        </w:pBdr>
        <w:spacing w:after="40" w:before="40"/>
      </w:pPr>
      <w:r>
        <w:t xml:space="preserve"/>
      </w:r>
    </w:p>
    <w:p>
      <w:pPr>
        <w:pStyle w:val="Heading1"/>
        <w:pBdr>
          <w:bottom w:val="single" w:color="1E3A5F" w:sz="6" w:space="4"/>
        </w:pBdr>
        <w:spacing w:after="120" w:before="320"/>
      </w:pPr>
      <w:r>
        <w:rPr>
          <w:rFonts w:ascii="Arial" w:cs="Arial" w:eastAsia="Arial" w:hAnsi="Arial"/>
          <w:b/>
          <w:bCs/>
          <w:color w:val="1E3A5F"/>
          <w:sz w:val="32"/>
          <w:szCs w:val="32"/>
        </w:rPr>
        <w:t xml:space="preserve">一、技能概述</w:t>
      </w:r>
    </w:p>
    <w:p>
      <w:pPr>
        <w:spacing w:after="60" w:before="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本技能旨在为阿里巴巴国际站（Alibaba.com）商家提供专家级的店铺运营审计服务。其核心价值在于三层递进分析：</w:t>
      </w:r>
    </w:p>
    <w:p>
      <w:pPr>
        <w:spacing w:after="40" w:before="60"/>
      </w:pPr>
      <w:r>
        <w:rPr>
          <w:rFonts w:ascii="Arial" w:cs="Arial" w:eastAsia="Arial" w:hAnsi="Arial"/>
          <w:b/>
          <w:bCs/>
          <w:color w:val="1E3A5F"/>
          <w:sz w:val="22"/>
          <w:szCs w:val="22"/>
        </w:rPr>
        <w:t xml:space="preserve">发生了什么</w:t>
      </w:r>
      <w:r>
        <w:rPr>
          <w:rFonts w:ascii="Arial" w:cs="Arial" w:eastAsia="Arial" w:hAnsi="Arial"/>
          <w:color w:val="2C2C2C"/>
          <w:sz w:val="22"/>
          <w:szCs w:val="22"/>
        </w:rPr>
        <w:t xml:space="preserve">  →  数据现状与趋势变化</w:t>
      </w:r>
    </w:p>
    <w:p>
      <w:pPr>
        <w:spacing w:after="40" w:before="40"/>
      </w:pPr>
      <w:r>
        <w:rPr>
          <w:rFonts w:ascii="Arial" w:cs="Arial" w:eastAsia="Arial" w:hAnsi="Arial"/>
          <w:b/>
          <w:bCs/>
          <w:color w:val="1E3A5F"/>
          <w:sz w:val="22"/>
          <w:szCs w:val="22"/>
        </w:rPr>
        <w:t xml:space="preserve">为什么发生</w:t>
      </w:r>
      <w:r>
        <w:rPr>
          <w:rFonts w:ascii="Arial" w:cs="Arial" w:eastAsia="Arial" w:hAnsi="Arial"/>
          <w:color w:val="2C2C2C"/>
          <w:sz w:val="22"/>
          <w:szCs w:val="22"/>
        </w:rPr>
        <w:t xml:space="preserve">  →  底层逻辑与瓶颈溯源</w:t>
      </w:r>
    </w:p>
    <w:p>
      <w:pPr>
        <w:spacing w:after="80" w:before="40"/>
      </w:pPr>
      <w:r>
        <w:rPr>
          <w:rFonts w:ascii="Arial" w:cs="Arial" w:eastAsia="Arial" w:hAnsi="Arial"/>
          <w:b/>
          <w:bCs/>
          <w:color w:val="1E3A5F"/>
          <w:sz w:val="22"/>
          <w:szCs w:val="22"/>
        </w:rPr>
        <w:t xml:space="preserve">怎么做</w:t>
      </w:r>
      <w:r>
        <w:rPr>
          <w:rFonts w:ascii="Arial" w:cs="Arial" w:eastAsia="Arial" w:hAnsi="Arial"/>
          <w:color w:val="2C2C2C"/>
          <w:sz w:val="22"/>
          <w:szCs w:val="22"/>
        </w:rPr>
        <w:t xml:space="preserve">       →  可落地的执行方案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4000"/>
        <w:gridCol w:w="5360"/>
      </w:tblGrid>
      <w:tr>
        <w:trPr>
          <w:tblHeader/>
        </w:trP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触发场景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示例触发语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店铺综合诊断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「帮我诊断一下店铺」、「店铺整体运营情况怎么样」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流量分析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「最近曝光量掉了，帮我分析原因」、「流量下滑分析」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直通车优化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「直通车效果提升」、「P4P 投产比太低」、「帮我优化关键词」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品牌广告评估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「品牌广告评估」、「顶展的效果怎么样」</w:t>
            </w:r>
          </w:p>
        </w:tc>
      </w:tr>
      <w:tr>
        <w:tc>
          <w:tcPr>
            <w:tcW w:type="dxa" w:w="40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提供数据后</w:t>
            </w:r>
          </w:p>
        </w:tc>
        <w:tc>
          <w:tcPr>
            <w:tcW w:type="dxa" w:w="53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「这是我店铺过去30天数据，帮我分析一下」</w:t>
            </w:r>
          </w:p>
        </w:tc>
      </w:tr>
    </w:tbl>
    <w:p>
      <w:pPr>
        <w:spacing w:after="0" w:before="20"/>
      </w:pPr>
      <w:r>
        <w:t xml:space="preserve"/>
      </w:r>
    </w:p>
    <w:p>
      <w:pPr>
        <w:pBdr>
          <w:bottom w:val="single" w:color="CCCCCC" w:sz="2" w:space="2"/>
        </w:pBdr>
        <w:spacing w:after="40" w:before="40"/>
      </w:pPr>
      <w:r>
        <w:t xml:space="preserve"/>
      </w:r>
    </w:p>
    <w:p>
      <w:pPr>
        <w:pStyle w:val="Heading1"/>
        <w:pBdr>
          <w:bottom w:val="single" w:color="1E3A5F" w:sz="6" w:space="4"/>
        </w:pBdr>
        <w:spacing w:after="120" w:before="320"/>
      </w:pPr>
      <w:r>
        <w:rPr>
          <w:rFonts w:ascii="Arial" w:cs="Arial" w:eastAsia="Arial" w:hAnsi="Arial"/>
          <w:b/>
          <w:bCs/>
          <w:color w:val="1E3A5F"/>
          <w:sz w:val="32"/>
          <w:szCs w:val="32"/>
        </w:rPr>
        <w:t xml:space="preserve">二、核心诊断模块</w:t>
      </w: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C5F8A"/>
          <w:sz w:val="26"/>
          <w:szCs w:val="26"/>
        </w:rPr>
        <w:t xml:space="preserve">2.1  自然流量诊断（Organic Traffic Analysis）</w:t>
      </w:r>
    </w:p>
    <w:p>
      <w:pPr>
        <w:spacing w:after="60" w:before="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分析店铺在不依赖广告投入情况下的原生获客能力，是评估 SEO 健康度的核心指标体系。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诊断维度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核心指标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问题信号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关键词覆盖度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核心词/长尾词排名分布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主词搜索页第3页以后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产品力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实力优品率、星级产品占比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星级产品 &lt; 30%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SEO 基础质量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标题相关性、属性完整度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标题堆砌、属性缺失率 &gt; 20%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店铺权重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询盘转化率、RTS 占比、商家星级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回复率 &lt; 70% 或星级 ≤ 2 星</w:t>
            </w:r>
          </w:p>
        </w:tc>
      </w:tr>
    </w:tbl>
    <w:p>
      <w:pPr>
        <w:spacing w:after="20" w:before="20"/>
      </w:pPr>
      <w:r>
        <w:t xml:space="preserve"/>
      </w:r>
    </w:p>
    <w:p>
      <w:pPr>
        <w:pStyle w:val="Heading3"/>
        <w:spacing w:after="60" w:before="200"/>
      </w:pPr>
      <w:r>
        <w:rPr>
          <w:rFonts w:ascii="Arial" w:cs="Arial" w:eastAsia="Arial" w:hAnsi="Arial"/>
          <w:b/>
          <w:bCs/>
          <w:color w:val="34495E"/>
          <w:sz w:val="22"/>
          <w:szCs w:val="22"/>
        </w:rPr>
        <w:t xml:space="preserve">常用后台路径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color w:val="1E3A5F"/>
          <w:sz w:val="22"/>
          <w:szCs w:val="22"/>
        </w:rPr>
        <w:t xml:space="preserve">数据管家 → 流量分析 → 流量来源：</w:t>
      </w:r>
      <w:r>
        <w:rPr>
          <w:rFonts w:ascii="Arial" w:cs="Arial" w:eastAsia="Arial" w:hAnsi="Arial"/>
          <w:color w:val="2C2C2C"/>
          <w:sz w:val="22"/>
          <w:szCs w:val="22"/>
        </w:rPr>
        <w:t xml:space="preserve">区分自然搜索 / P4P / 站外 / 推荐来源占比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color w:val="1E3A5F"/>
          <w:sz w:val="22"/>
          <w:szCs w:val="22"/>
        </w:rPr>
        <w:t xml:space="preserve">产品管理 → 关键词排名：</w:t>
      </w:r>
      <w:r>
        <w:rPr>
          <w:rFonts w:ascii="Arial" w:cs="Arial" w:eastAsia="Arial" w:hAnsi="Arial"/>
          <w:color w:val="2C2C2C"/>
          <w:sz w:val="22"/>
          <w:szCs w:val="22"/>
        </w:rPr>
        <w:t xml:space="preserve">查看核心产品的搜索词覆盖与排名情况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color w:val="1E3A5F"/>
          <w:sz w:val="22"/>
          <w:szCs w:val="22"/>
        </w:rPr>
        <w:t xml:space="preserve">产品 → 实力优品：</w:t>
      </w:r>
      <w:r>
        <w:rPr>
          <w:rFonts w:ascii="Arial" w:cs="Arial" w:eastAsia="Arial" w:hAnsi="Arial"/>
          <w:color w:val="2C2C2C"/>
          <w:sz w:val="22"/>
          <w:szCs w:val="22"/>
        </w:rPr>
        <w:t xml:space="preserve">查看达标产品数量与缺失属性清单</w:t>
      </w:r>
    </w:p>
    <w:p>
      <w:pPr>
        <w:spacing w:after="0" w:before="20"/>
      </w:pPr>
      <w:r>
        <w:t xml:space="preserve"/>
      </w: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C5F8A"/>
          <w:sz w:val="26"/>
          <w:szCs w:val="26"/>
        </w:rPr>
        <w:t xml:space="preserve">2.2  直通车诊断（P4P Search Marketing Analysis）</w:t>
      </w:r>
    </w:p>
    <w:p>
      <w:pPr>
        <w:spacing w:after="60" w:before="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分析付费推广的精准度与投入产出比（ROI），识别流量浪费节点并给出关键词策略优化方案。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诊断维度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核心指标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健康基准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流量精准度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点击词与产品匹配率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匹配率 ≥ 80%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CTR 点击率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曝光量 / 点击量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行业均值 ±20% 以内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询盘转化率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点击量 / 询盘数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≥ 同类目行业均值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推广策略配比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全店推广 vs 定向推广占比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定向推广占比建议 ≥ 20%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地域/人群溢价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核心市场（欧美/东南亚）转化效率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核心市场溢价 100%-200%</w:t>
            </w:r>
          </w:p>
        </w:tc>
      </w:tr>
    </w:tbl>
    <w:p>
      <w:pPr>
        <w:spacing w:after="20" w:before="20"/>
      </w:pPr>
      <w:r>
        <w:t xml:space="preserve"/>
      </w:r>
    </w:p>
    <w:p>
      <w:pPr>
        <w:pStyle w:val="Heading3"/>
        <w:spacing w:after="60" w:before="200"/>
      </w:pPr>
      <w:r>
        <w:rPr>
          <w:rFonts w:ascii="Arial" w:cs="Arial" w:eastAsia="Arial" w:hAnsi="Arial"/>
          <w:b/>
          <w:bCs/>
          <w:color w:val="34495E"/>
          <w:sz w:val="22"/>
          <w:szCs w:val="22"/>
        </w:rPr>
        <w:t xml:space="preserve">常用后台路径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color w:val="1E3A5F"/>
          <w:sz w:val="22"/>
          <w:szCs w:val="22"/>
        </w:rPr>
        <w:t xml:space="preserve">营销中心 → 直通车 → 推广报告：</w:t>
      </w:r>
      <w:r>
        <w:rPr>
          <w:rFonts w:ascii="Arial" w:cs="Arial" w:eastAsia="Arial" w:hAnsi="Arial"/>
          <w:color w:val="2C2C2C"/>
          <w:sz w:val="22"/>
          <w:szCs w:val="22"/>
        </w:rPr>
        <w:t xml:space="preserve">获取关键词的曝光/点击/消耗/转化数据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color w:val="1E3A5F"/>
          <w:sz w:val="22"/>
          <w:szCs w:val="22"/>
        </w:rPr>
        <w:t xml:space="preserve">关键词工具：</w:t>
      </w:r>
      <w:r>
        <w:rPr>
          <w:rFonts w:ascii="Arial" w:cs="Arial" w:eastAsia="Arial" w:hAnsi="Arial"/>
          <w:color w:val="2C2C2C"/>
          <w:sz w:val="22"/>
          <w:szCs w:val="22"/>
        </w:rPr>
        <w:t xml:space="preserve">挖掘行业热词与长尾词，分析竞争度与出价建议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Arial" w:cs="Arial" w:eastAsia="Arial" w:hAnsi="Arial"/>
          <w:b/>
          <w:bCs/>
          <w:color w:val="1E3A5F"/>
          <w:sz w:val="22"/>
          <w:szCs w:val="22"/>
        </w:rPr>
        <w:t xml:space="preserve">推广效果 → 人群定向：</w:t>
      </w:r>
      <w:r>
        <w:rPr>
          <w:rFonts w:ascii="Arial" w:cs="Arial" w:eastAsia="Arial" w:hAnsi="Arial"/>
          <w:color w:val="2C2C2C"/>
          <w:sz w:val="22"/>
          <w:szCs w:val="22"/>
        </w:rPr>
        <w:t xml:space="preserve">评估买家画像与溢价设置有效性</w:t>
      </w:r>
    </w:p>
    <w:p>
      <w:pPr>
        <w:spacing w:after="0" w:before="20"/>
      </w:pPr>
      <w:r>
        <w:t xml:space="preserve"/>
      </w: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C5F8A"/>
          <w:sz w:val="26"/>
          <w:szCs w:val="26"/>
        </w:rPr>
        <w:t xml:space="preserve">2.3  品牌广告诊断（Brand Ads &amp; Premium Traffic）</w:t>
      </w:r>
    </w:p>
    <w:p>
      <w:pPr>
        <w:spacing w:after="60" w:before="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评估顶展（Top-ranking Display）、品牌之星、问鼎等高端流量产品的品牌心智建立效果与询盘转化拉动作用。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3120"/>
        <w:gridCol w:w="3120"/>
        <w:gridCol w:w="3120"/>
      </w:tblGrid>
      <w:tr>
        <w:trPr>
          <w:tblHeader/>
        </w:trP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诊断维度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核心指标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优化目标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覆盖效能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品牌词 + 大词的顶展占位数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核心词 TOP3 位置覆盖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视觉传达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广告创意与品牌调性一致性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点击率高于行业均值 10%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品牌矩阵承接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广告位 → 店铺落地页逻辑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落地页跳出率 &lt; 60%</w:t>
            </w:r>
          </w:p>
        </w:tc>
      </w:tr>
      <w:tr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间接询盘拉动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品牌曝光期内询盘环比变化</w:t>
            </w:r>
          </w:p>
        </w:tc>
        <w:tc>
          <w:tcPr>
            <w:tcW w:type="dxa" w:w="31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  <w:vAlign w:val="center"/>
          </w:tcPr>
          <w:p>
            <w:pPr>
              <w:jc w:val="center"/>
            </w:pPr>
            <w:r>
              <w:rPr>
                <w:rFonts w:ascii="Arial" w:cs="Arial" w:eastAsia="Arial" w:hAnsi="Arial"/>
                <w:color w:val="2C2C2C"/>
                <w:sz w:val="20"/>
                <w:szCs w:val="20"/>
              </w:rPr>
              <w:t xml:space="preserve">询盘量环比 ≥ +15%</w:t>
            </w:r>
          </w:p>
        </w:tc>
      </w:tr>
    </w:tbl>
    <w:p>
      <w:pPr>
        <w:spacing w:after="0" w:before="20"/>
      </w:pPr>
      <w:r>
        <w:t xml:space="preserve"/>
      </w:r>
    </w:p>
    <w:p>
      <w:pPr>
        <w:pBdr>
          <w:bottom w:val="single" w:color="CCCCCC" w:sz="2" w:space="2"/>
        </w:pBdr>
        <w:spacing w:after="40" w:before="40"/>
      </w:pPr>
      <w:r>
        <w:t xml:space="preserve"/>
      </w:r>
    </w:p>
    <w:p>
      <w:pPr>
        <w:pStyle w:val="Heading1"/>
        <w:pBdr>
          <w:bottom w:val="single" w:color="1E3A5F" w:sz="6" w:space="4"/>
        </w:pBdr>
        <w:spacing w:after="120" w:before="320"/>
      </w:pPr>
      <w:r>
        <w:rPr>
          <w:rFonts w:ascii="Arial" w:cs="Arial" w:eastAsia="Arial" w:hAnsi="Arial"/>
          <w:b/>
          <w:bCs/>
          <w:color w:val="1E3A5F"/>
          <w:sz w:val="32"/>
          <w:szCs w:val="32"/>
        </w:rPr>
        <w:t xml:space="preserve">三、执行流程</w:t>
      </w: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C5F8A"/>
          <w:sz w:val="26"/>
          <w:szCs w:val="26"/>
        </w:rPr>
        <w:t xml:space="preserve">Step 1  数据采集（Data Gathering）</w:t>
      </w:r>
    </w:p>
    <w:p>
      <w:pPr>
        <w:spacing w:after="60" w:before="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通过浏览器工具登录 i.alibaba.com 后台（如用户未登录，引导用户完成登录），获取以下数据集：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数据管家概览：过去 30 天的曝光量、点击量、询盘数、转化数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流量来源明细：自然搜索 / P4P / 站外 / 推荐各渠道占比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P4P 推广报表：主推关键词的 CPC（每次点击成本）与询盘转化情况</w:t>
      </w:r>
    </w:p>
    <w:p>
      <w:pPr>
        <w:pStyle w:val="ListParagraph"/>
        <w:numPr>
          <w:ilvl w:val="0"/>
          <w:numId w:val="3"/>
        </w:numPr>
        <w:spacing w:after="40" w:before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产品健康度：实力优品数量、星级分布、低分产品属性缺失清单</w:t>
      </w:r>
    </w:p>
    <w:p>
      <w:pPr>
        <w:spacing w:after="0" w:before="20"/>
      </w:pPr>
      <w:r>
        <w:t xml:space="preserve"/>
      </w: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C5F8A"/>
          <w:sz w:val="26"/>
          <w:szCs w:val="26"/>
        </w:rPr>
        <w:t xml:space="preserve">Step 2  现状诊断（Diagnostic Analysis）</w:t>
      </w:r>
    </w:p>
    <w:p>
      <w:pPr>
        <w:spacing w:after="60" w:before="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基于采集数据，沿以下决策树定位瓶颈：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2340"/>
        <w:gridCol w:w="3500"/>
        <w:gridCol w:w="3520"/>
      </w:tblGrid>
      <w:tr>
        <w:trPr>
          <w:tblHeader/>
        </w:trP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问题现象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可能原因</w:t>
            </w:r>
          </w:p>
        </w:tc>
        <w:tc>
          <w:tcPr>
            <w:tcW w:type="dxa" w:w="3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诊断方向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没有曝光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关键词选词偏差 / P4P 出价过低 / 产品权重不足</w:t>
            </w:r>
          </w:p>
        </w:tc>
        <w:tc>
          <w:tcPr>
            <w:tcW w:type="dxa" w:w="3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color w:val="2C5F8A"/>
                <w:sz w:val="20"/>
                <w:szCs w:val="20"/>
              </w:rPr>
              <w:t xml:space="preserve">→ SEO 关键词矩阵 + P4P 出价策略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有曝光没点击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主图吸引力不足 / 标题不精准 / 价格竞争力弱</w:t>
            </w:r>
          </w:p>
        </w:tc>
        <w:tc>
          <w:tcPr>
            <w:tcW w:type="dxa" w:w="3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color w:val="2C5F8A"/>
                <w:sz w:val="20"/>
                <w:szCs w:val="20"/>
              </w:rPr>
              <w:t xml:space="preserve">→ 主图/标题/价格区间优化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有点击没询盘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详情页说服力不足 / 认证/工厂实力展示缺失</w:t>
            </w:r>
          </w:p>
        </w:tc>
        <w:tc>
          <w:tcPr>
            <w:tcW w:type="dxa" w:w="3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color w:val="2C5F8A"/>
                <w:sz w:val="20"/>
                <w:szCs w:val="20"/>
              </w:rPr>
              <w:t xml:space="preserve">→ A+ 详情页 / 视频 / 信任体系建设</w:t>
            </w:r>
          </w:p>
        </w:tc>
      </w:tr>
      <w:tr>
        <w:tc>
          <w:tcPr>
            <w:tcW w:type="dxa" w:w="234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有询盘没成交</w:t>
            </w:r>
          </w:p>
        </w:tc>
        <w:tc>
          <w:tcPr>
            <w:tcW w:type="dxa" w:w="3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业务员跟进效率低 / 报价/MOQ 门槛过高</w:t>
            </w:r>
          </w:p>
        </w:tc>
        <w:tc>
          <w:tcPr>
            <w:tcW w:type="dxa" w:w="352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color w:val="2C5F8A"/>
                <w:sz w:val="20"/>
                <w:szCs w:val="20"/>
              </w:rPr>
              <w:t xml:space="preserve">→ 业务响应 SOP + 报价策略复盘</w:t>
            </w:r>
          </w:p>
        </w:tc>
      </w:tr>
    </w:tbl>
    <w:p>
      <w:pPr>
        <w:spacing w:after="0" w:before="20"/>
      </w:pPr>
      <w:r>
        <w:t xml:space="preserve"/>
      </w:r>
    </w:p>
    <w:p>
      <w:pPr>
        <w:pStyle w:val="Heading2"/>
        <w:spacing w:after="80" w:before="240"/>
      </w:pPr>
      <w:r>
        <w:rPr>
          <w:rFonts w:ascii="Arial" w:cs="Arial" w:eastAsia="Arial" w:hAnsi="Arial"/>
          <w:b/>
          <w:bCs/>
          <w:color w:val="2C5F8A"/>
          <w:sz w:val="26"/>
          <w:szCs w:val="26"/>
        </w:rPr>
        <w:t xml:space="preserve">Step 3  优化方案输出（Optimization Plan）</w:t>
      </w:r>
    </w:p>
    <w:p>
      <w:pPr>
        <w:spacing w:after="60" w:before="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产出标准化的诊断报告，结构如下：</w:t>
      </w:r>
    </w:p>
    <w:p>
      <w:pPr>
        <w:pStyle w:val="ListParagraph"/>
        <w:numPr>
          <w:ilvl w:val="0"/>
          <w:numId w:val="4"/>
        </w:numPr>
        <w:spacing w:after="40" w:before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现状评估表：以 🔴红灯 / 🟡黄灯 / 🟢绿灯 标示各指标健康度</w:t>
      </w:r>
    </w:p>
    <w:p>
      <w:pPr>
        <w:pStyle w:val="ListParagraph"/>
        <w:numPr>
          <w:ilvl w:val="0"/>
          <w:numId w:val="4"/>
        </w:numPr>
        <w:spacing w:after="40" w:before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SEO 建议：具体的标题改写模板、关键词扩充列表</w:t>
      </w:r>
    </w:p>
    <w:p>
      <w:pPr>
        <w:pStyle w:val="ListParagraph"/>
        <w:numPr>
          <w:ilvl w:val="0"/>
          <w:numId w:val="4"/>
        </w:numPr>
        <w:spacing w:after="40" w:before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P4P 建议：删词清单（点击 &gt; 50 但询盘为 0 的词）、地区溢价设置方案</w:t>
      </w:r>
    </w:p>
    <w:p>
      <w:pPr>
        <w:pStyle w:val="ListParagraph"/>
        <w:numPr>
          <w:ilvl w:val="0"/>
          <w:numId w:val="4"/>
        </w:numPr>
        <w:spacing w:after="40" w:before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品牌广告建议：顶展占位关键词选择 + 落地页视觉改进方向</w:t>
      </w:r>
    </w:p>
    <w:p>
      <w:pPr>
        <w:pStyle w:val="ListParagraph"/>
        <w:numPr>
          <w:ilvl w:val="0"/>
          <w:numId w:val="4"/>
        </w:numPr>
        <w:spacing w:after="40" w:before="4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本周优先级待办（Action Items）：按影响力排序的 5 条可立即执行的操作</w:t>
      </w:r>
    </w:p>
    <w:p>
      <w:pPr>
        <w:pBdr>
          <w:bottom w:val="single" w:color="CCCCCC" w:sz="2" w:space="2"/>
        </w:pBdr>
        <w:spacing w:after="40" w:before="40"/>
      </w:pPr>
      <w:r>
        <w:t xml:space="preserve"/>
      </w:r>
    </w:p>
    <w:p>
      <w:pPr>
        <w:pStyle w:val="Heading1"/>
        <w:pBdr>
          <w:bottom w:val="single" w:color="1E3A5F" w:sz="6" w:space="4"/>
        </w:pBdr>
        <w:spacing w:after="120" w:before="320"/>
      </w:pPr>
      <w:r>
        <w:rPr>
          <w:rFonts w:ascii="Arial" w:cs="Arial" w:eastAsia="Arial" w:hAnsi="Arial"/>
          <w:b/>
          <w:bCs/>
          <w:color w:val="1E3A5F"/>
          <w:sz w:val="32"/>
          <w:szCs w:val="32"/>
        </w:rPr>
        <w:t xml:space="preserve">四、诊断报告模板</w:t>
      </w:r>
    </w:p>
    <w:p>
      <w:pPr>
        <w:spacing w:after="60" w:before="60"/>
      </w:pPr>
      <w:r>
        <w:rPr>
          <w:rFonts w:ascii="Arial" w:cs="Arial" w:eastAsia="Arial" w:hAnsi="Arial"/>
          <w:color w:val="2C2C2C"/>
          <w:sz w:val="22"/>
          <w:szCs w:val="22"/>
        </w:rPr>
        <w:t xml:space="preserve">每次诊断完成后，输出的标准报告须包含以下结构：</w:t>
      </w:r>
    </w:p>
    <w:p>
      <w:pPr>
        <w:spacing w:after="0" w:before="60"/>
      </w:pPr>
      <w:r>
        <w:t xml:space="preserve"/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2200"/>
        <w:gridCol w:w="7160"/>
      </w:tblGrid>
      <w:tr>
        <w:trPr>
          <w:tblHeader/>
        </w:trP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章节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内容要求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一、数据概览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总流量状况评级（健康/预警/危险）+ 曝光/点击/询盘的绝对值与环比变化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二、自然流量诊断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现状描述 → 2-3 个核心问题点 → 具体 SEO 操作步骤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三、P4P 诊断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ROI / CPC 分析 → 无效点击词清单 → 调价/删词/定向建议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四、品牌广告诊断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覆盖率评估 → 视觉/创意改进方向 → 间接询盘拉动数据</w:t>
            </w:r>
          </w:p>
        </w:tc>
      </w:tr>
      <w:tr>
        <w:tc>
          <w:tcPr>
            <w:tcW w:type="dxa" w:w="22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五、本周待办</w:t>
            </w:r>
          </w:p>
        </w:tc>
        <w:tc>
          <w:tcPr>
            <w:tcW w:type="dxa" w:w="71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按优先级排序的 5 条 Action Items，每条具体到「点击哪个按钮」</w:t>
            </w:r>
          </w:p>
        </w:tc>
      </w:tr>
    </w:tbl>
    <w:p>
      <w:pPr>
        <w:spacing w:after="0" w:before="20"/>
      </w:pPr>
      <w:r>
        <w:t xml:space="preserve"/>
      </w:r>
    </w:p>
    <w:p>
      <w:pPr>
        <w:pBdr>
          <w:bottom w:val="single" w:color="CCCCCC" w:sz="2" w:space="2"/>
        </w:pBdr>
        <w:spacing w:after="40" w:before="40"/>
      </w:pPr>
      <w:r>
        <w:t xml:space="preserve"/>
      </w:r>
    </w:p>
    <w:p>
      <w:pPr>
        <w:pStyle w:val="Heading1"/>
        <w:pBdr>
          <w:bottom w:val="single" w:color="1E3A5F" w:sz="6" w:space="4"/>
        </w:pBdr>
        <w:spacing w:after="120" w:before="320"/>
      </w:pPr>
      <w:r>
        <w:rPr>
          <w:rFonts w:ascii="Arial" w:cs="Arial" w:eastAsia="Arial" w:hAnsi="Arial"/>
          <w:b/>
          <w:bCs/>
          <w:color w:val="1E3A5F"/>
          <w:sz w:val="32"/>
          <w:szCs w:val="32"/>
        </w:rPr>
        <w:t xml:space="preserve">五、交互规范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CellMar>
          <w:top w:type="dxa" w:w="80"/>
          <w:left w:type="dxa" w:w="160"/>
          <w:bottom w:type="dxa" w:w="80"/>
          <w:right w:type="dxa" w:w="160"/>
        </w:tblCellMar>
      </w:tblPr>
      <w:tblGrid>
        <w:gridCol w:w="2500"/>
        <w:gridCol w:w="6860"/>
      </w:tblGrid>
      <w:tr>
        <w:trPr>
          <w:tblHeader/>
        </w:trP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规范项</w:t>
            </w:r>
          </w:p>
        </w:tc>
        <w:tc>
          <w:tcPr>
            <w:tcW w:type="dxa" w:w="6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1E3A5F" w:val="clear"/>
            <w:tcMar>
              <w:top w:type="dxa" w:w="120"/>
              <w:left w:type="dxa" w:w="180"/>
              <w:bottom w:type="dxa" w:w="120"/>
              <w:right w:type="dxa" w:w="180"/>
            </w:tcMar>
          </w:tcPr>
          <w:p>
            <w:pPr>
              <w:jc w:val="center"/>
            </w:pPr>
            <w:r>
              <w:rPr>
                <w:rFonts w:ascii="Arial" w:cs="Arial" w:eastAsia="Arial" w:hAnsi="Arial"/>
                <w:b/>
                <w:bCs/>
                <w:color w:val="FFFFFF"/>
                <w:sz w:val="20"/>
                <w:szCs w:val="20"/>
              </w:rPr>
              <w:t xml:space="preserve">说明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客观性</w:t>
            </w:r>
          </w:p>
        </w:tc>
        <w:tc>
          <w:tcPr>
            <w:tcW w:type="dxa" w:w="6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必须对比「同行平均」或「同行优秀」基准数据，而非仅看自身绝对值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实操性</w:t>
            </w:r>
          </w:p>
        </w:tc>
        <w:tc>
          <w:tcPr>
            <w:tcW w:type="dxa" w:w="6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建议必须具体到「点击哪个按钮」或「输入哪个关键词」，避免泛泛而谈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安全性</w:t>
            </w:r>
          </w:p>
        </w:tc>
        <w:tc>
          <w:tcPr>
            <w:tcW w:type="dxa" w:w="6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处理后台数据时遵循隐私保护原则，不存储或外传商家敏感数据</w:t>
            </w:r>
          </w:p>
        </w:tc>
      </w:tr>
      <w:tr>
        <w:tc>
          <w:tcPr>
            <w:tcW w:type="dxa" w:w="250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EBF2FA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b/>
                <w:bCs/>
                <w:color w:val="1E3A5F"/>
                <w:sz w:val="20"/>
                <w:szCs w:val="20"/>
              </w:rPr>
              <w:t xml:space="preserve">结构化输出</w:t>
            </w:r>
          </w:p>
        </w:tc>
        <w:tc>
          <w:tcPr>
            <w:tcW w:type="dxa" w:w="6860"/>
            <w:tcBorders>
              <w:top w:val="single" w:color="CCCCCC" w:sz="1"/>
              <w:left w:val="single" w:color="CCCCCC" w:sz="1"/>
              <w:bottom w:val="single" w:color="CCCCCC" w:sz="1"/>
              <w:right w:val="single" w:color="CCCCCC" w:sz="1"/>
            </w:tcBorders>
            <w:shd w:fill="FFFFFF" w:val="clear"/>
            <w:tcMar>
              <w:top w:type="dxa" w:w="100"/>
              <w:left w:type="dxa" w:w="180"/>
              <w:bottom w:type="dxa" w:w="100"/>
              <w:right w:type="dxa" w:w="180"/>
            </w:tcMar>
          </w:tcPr>
          <w:p>
            <w:r>
              <w:rPr>
                <w:rFonts w:ascii="Arial" w:cs="Arial" w:eastAsia="Arial" w:hAnsi="Arial"/>
                <w:sz w:val="20"/>
                <w:szCs w:val="20"/>
              </w:rPr>
              <w:t xml:space="preserve">每次诊断必须产出标准结构报告，不允许仅给出口头建议而无书面记录</w:t>
            </w:r>
          </w:p>
        </w:tc>
      </w:tr>
    </w:tbl>
    <w:p>
      <w:pPr>
        <w:spacing w:after="0" w:before="80"/>
      </w:pPr>
      <w:r>
        <w:t xml:space="preserve"/>
      </w:r>
    </w:p>
    <w:p>
      <w:pPr>
        <w:pBdr>
          <w:bottom w:val="single" w:color="CCCCCC" w:sz="2" w:space="2"/>
        </w:pBdr>
        <w:spacing w:after="40" w:before="40"/>
      </w:pPr>
      <w:r>
        <w:t xml:space="preserve"/>
      </w:r>
    </w:p>
    <w:p>
      <w:pPr>
        <w:spacing w:after="0" w:before="120"/>
        <w:jc w:val="center"/>
      </w:pPr>
      <w:r>
        <w:rPr>
          <w:rFonts w:ascii="Arial" w:cs="Arial" w:eastAsia="Arial" w:hAnsi="Arial"/>
          <w:color w:val="AAAAAA"/>
          <w:sz w:val="18"/>
          <w:szCs w:val="18"/>
        </w:rPr>
        <w:t xml:space="preserve">本文档由 Accio 智能助手自动生成 · alibaba-operations-diagnostics v1.0</w:t>
      </w:r>
    </w:p>
    <w:sectPr>
      <w:headerReference w:type="default" r:id="rId7"/>
      <w:footerReference w:type="default" r:id="rId8"/>
      <w:pgSz w:w="11906" w:h="16838" w:orient="portrait"/>
      <w:pgMar w:top="1440" w:right="1260" w:bottom="144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CCCCC" w:sz="2" w:space="4"/>
      </w:pBdr>
      <w:jc w:val="center"/>
    </w:pPr>
    <w:r>
      <w:rPr>
        <w:rFonts w:ascii="Arial" w:cs="Arial" w:eastAsia="Arial" w:hAnsi="Arial"/>
        <w:color w:val="888888"/>
        <w:sz w:val="18"/>
        <w:szCs w:val="18"/>
      </w:rPr>
      <w:t xml:space="preserve">第 </w:t>
    </w:r>
    <w:r>
      <w:rPr>
        <w:rFonts w:ascii="Arial" w:cs="Arial" w:eastAsia="Arial" w:hAnsi="Arial"/>
        <w:color w:val="888888"/>
        <w:sz w:val="18"/>
        <w:szCs w:val="18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color w:val="888888"/>
        <w:sz w:val="18"/>
        <w:szCs w:val="18"/>
      </w:rPr>
      <w:t xml:space="preserve"> 页 | alibaba-operations-diagnostics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CCCCC" w:sz="2" w:space="4"/>
      </w:pBdr>
      <w:jc w:val="right"/>
    </w:pPr>
    <w:r>
      <w:rPr>
        <w:rFonts w:ascii="Arial" w:cs="Arial" w:eastAsia="Arial" w:hAnsi="Arial"/>
        <w:color w:val="888888"/>
        <w:sz w:val="18"/>
        <w:szCs w:val="18"/>
      </w:rPr>
      <w:t xml:space="preserve">阿里巴巴国际站专业运营诊断 Skill 说明文档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5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6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7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  <w:num w:numId="3">
    <w:abstractNumId w:val="3"/>
    <w:lvlOverride w:ilvl="0">
      <w:startOverride w:val="1"/>
    </w:lvlOverride>
  </w:num>
  <w:num w:numId="4">
    <w:abstractNumId w:val="4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20" w:before="320"/>
      <w:outlineLvl w:val="0"/>
    </w:pPr>
    <w:rPr>
      <w:rFonts w:ascii="Arial" w:cs="Arial" w:eastAsia="Arial" w:hAnsi="Arial"/>
      <w:b/>
      <w:bCs/>
      <w:color w:val="1E3A5F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80" w:before="240"/>
      <w:outlineLvl w:val="1"/>
    </w:pPr>
    <w:rPr>
      <w:rFonts w:ascii="Arial" w:cs="Arial" w:eastAsia="Arial" w:hAnsi="Arial"/>
      <w:b/>
      <w:bCs/>
      <w:color w:val="2C5F8A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60" w:before="200"/>
      <w:outlineLvl w:val="2"/>
    </w:pPr>
    <w:rPr>
      <w:rFonts w:ascii="Arial" w:cs="Arial" w:eastAsia="Arial" w:hAnsi="Arial"/>
      <w:b/>
      <w:bCs/>
      <w:color w:val="34495E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2026-04-16T06:57:42.488Z</dcterms:created>
  <dcterms:modified xsi:type="dcterms:W3CDTF">2026-04-16T06:57:42.493Z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