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rFonts w:ascii="Times New Roman" w:cs="Times New Roman" w:eastAsia="黑体" w:hAnsi="Times New Roman"/>
          <w:b/>
          <w:bCs/>
          <w:sz w:val="52"/>
          <w:szCs w:val="52"/>
        </w:rPr>
        <w:t xml:space="preserve">障壁重重的盲途</w:t>
      </w:r>
    </w:p>
    <w:p>
      <w:pPr>
        <w:spacing w:after="600"/>
        <w:jc w:val="center"/>
      </w:pPr>
      <w:r>
        <w:rPr>
          <w:rFonts w:ascii="Times New Roman" w:cs="Times New Roman" w:eastAsia="黑体" w:hAnsi="Times New Roman"/>
          <w:sz w:val="28"/>
          <w:szCs w:val="28"/>
        </w:rPr>
        <w:t xml:space="preserve">——马来西亚视障群体出行困境、区域经验借鉴与优化路径研究</w:t>
      </w:r>
    </w:p>
    <w:p>
      <w:pPr>
        <w:spacing w:after="120"/>
        <w:jc w:val="center"/>
      </w:pPr>
      <w:r>
        <w:rPr>
          <w:rFonts w:ascii="Times New Roman" w:cs="Times New Roman" w:eastAsia="宋体" w:hAnsi="Times New Roman"/>
          <w:sz w:val="24"/>
          <w:szCs w:val="24"/>
        </w:rPr>
        <w:t xml:space="preserve">（课程论文 / 研究报告）</w:t>
      </w:r>
    </w:p>
    <w:p>
      <w:pPr>
        <w:spacing w:after="120" w:before="2400"/>
        <w:jc w:val="center"/>
      </w:pPr>
      <w:r>
        <w:rPr>
          <w:rFonts w:ascii="Times New Roman" w:cs="Times New Roman" w:eastAsia="宋体" w:hAnsi="Times New Roman"/>
          <w:b/>
          <w:bCs/>
          <w:sz w:val="24"/>
          <w:szCs w:val="24"/>
        </w:rPr>
        <w:t xml:space="preserve">【摘要】</w:t>
      </w:r>
    </w:p>
    <w:p>
      <w:pPr>
        <w:spacing w:after="160" w:line="340"/>
        <w:ind w:firstLine="440"/>
      </w:pPr>
      <w:r>
        <w:rPr>
          <w:rFonts w:ascii="Times New Roman" w:cs="Times New Roman" w:eastAsia="宋体" w:hAnsi="Times New Roman"/>
          <w:sz w:val="22"/>
          <w:szCs w:val="22"/>
        </w:rPr>
        <w:t xml:space="preserve">在以汽车为主导（car-centric）的城市规划模式下，马来西亚的公共空间长期重机动交通、轻慢行与非机动出行，视障人士（OKU Penglihatan）的独立出行由此面临人行道断裂、人车混行、触觉地面指示器（TGSI，俗称"盲道"）畸变与制度执行脱节等多重障碍。本文以马来西亚半岛主要城市与东马部分区域为观察对象，结合《残疾人法案 2008》（Act 685）、工程部（JKR）与地方当局（PBT）相关规范，并对照日本、韩国、新加坡及中国的无障碍实践，采用政策文本分析、区域比较与参与式审计构想相结合的方法，剖析马国视障出行困境的成因，进而提出"法律问责—分级建设—智慧辅助—使用者共治"四位一体的优化路径。研究发现：马来西亚当前的核心矛盾并非单纯"缺少一段盲道"，而是基础人行道系统缺位、无障碍设施缺乏连续性、执法缺少罚则与跨部门协同薄弱的叠加结果；Act 685 偏重权利宣示而缺少可执行的法律责任条款，使得 PBT 在道路规划、验收与日常占用执法中动力不足。相较之下，日本以通用设计（Universal Design）与标准化点字块构建全链条步行网络，韩国以无障碍环境认证与智慧路口补强复杂场景，新加坡以《无障碍通行建筑规范》实现"从家门到目的地"的连续衔接，中国则在大规模硬件覆盖之后转向精细化维护与占用治理——这些经验可为马来西亚提供分层借鉴，但不能脱离其联邦制、多元族群与财政分权语境直接移植。本文据此建议：近期修订 Act 685 引入明确罚则与强制验收，推行"交通节点—社区服务圈"分级铺设；中期以可听觉行人信号灯（APS）、蓝牙信标与无障碍导航补足物理网络盲区；全程将视障者与非政府组织（如马来西亚盲人协会 MAB）纳入规划、验收与动态审计。真正的无障碍不是铺设一条指向排水沟的盲道，而是让每一位视障者能以可预期、可纠错、可求助的方式，独立完成从家到学校的那一段路。</w:t>
      </w:r>
    </w:p>
    <w:p>
      <w:r>
        <w:rPr>
          <w:rFonts w:ascii="Times New Roman" w:cs="Times New Roman" w:eastAsia="宋体" w:hAnsi="Times New Roman"/>
          <w:b/>
          <w:bCs/>
          <w:sz w:val="22"/>
          <w:szCs w:val="22"/>
        </w:rPr>
        <w:t xml:space="preserve">关键词：</w:t>
      </w:r>
      <w:r>
        <w:rPr>
          <w:rFonts w:ascii="Times New Roman" w:cs="Times New Roman" w:eastAsia="宋体" w:hAnsi="Times New Roman"/>
          <w:sz w:val="22"/>
          <w:szCs w:val="22"/>
        </w:rPr>
        <w:t xml:space="preserve">视障群体；无障碍环境；触觉地面指示器（TGSI）；通用设计；马来西亚；参与式审计</w:t>
      </w:r>
    </w:p>
    <w:p>
      <w:r>
        <w:br w:type="page"/>
      </w:r>
    </w:p>
    <w:p>
      <w:pPr>
        <w:spacing w:after="240"/>
        <w:jc w:val="center"/>
      </w:pPr>
      <w:r>
        <w:rPr>
          <w:rFonts w:ascii="Times New Roman" w:cs="Times New Roman" w:eastAsia="黑体" w:hAnsi="Times New Roman"/>
          <w:b/>
          <w:bCs/>
          <w:sz w:val="32"/>
          <w:szCs w:val="32"/>
        </w:rPr>
        <w:t xml:space="preserve">目 录</w:t>
      </w:r>
    </w:p>
    <w:sdt>
      <w:sdtPr>
        <w:alias w:val="目录"/>
      </w:sdtPr>
      <w:sdtContent>
        <w:p>
          <w:r>
            <w:fldChar w:fldCharType="begin" w:dirty="true"/>
            <w:instrText xml:space="preserve">TOC \h \o "1-2"</w:instrText>
            <w:fldChar w:fldCharType="separate"/>
          </w:r>
        </w:p>
        <w:p>
          <w:r>
            <w:fldChar w:fldCharType="end"/>
          </w:r>
        </w:p>
      </w:sdtContent>
    </w:sdt>
    <w:p>
      <w:r>
        <w:br w:type="page"/>
      </w:r>
    </w:p>
    <w:p>
      <w:pPr>
        <w:pStyle w:val="Heading1"/>
      </w:pPr>
      <w:r>
        <w:rPr>
          <w:rFonts w:ascii="Times New Roman" w:cs="Times New Roman" w:eastAsia="黑体" w:hAnsi="Times New Roman"/>
        </w:rPr>
        <w:t xml:space="preserve">一、问题提出与马来西亚现状剖析</w:t>
      </w:r>
    </w:p>
    <w:p>
      <w:pPr>
        <w:pStyle w:val="Heading2"/>
      </w:pPr>
      <w:r>
        <w:rPr>
          <w:rFonts w:ascii="Times New Roman" w:cs="Times New Roman" w:eastAsia="黑体" w:hAnsi="Times New Roman"/>
        </w:rPr>
        <w:t xml:space="preserve">（一）"以车为本"的城市形态与视障出行的结构性排斥</w:t>
      </w:r>
    </w:p>
    <w:p>
      <w:pPr>
        <w:spacing w:after="80" w:before="0" w:line="360"/>
        <w:ind w:firstLine="480"/>
      </w:pPr>
      <w:r>
        <w:rPr>
          <w:rFonts w:ascii="Times New Roman" w:cs="Times New Roman" w:eastAsia="宋体" w:hAnsi="Times New Roman"/>
          <w:sz w:val="24"/>
          <w:szCs w:val="24"/>
        </w:rPr>
        <w:t xml:space="preserve">在马来西亚的城市发展史中，1957年独立后以快速机动化为核心的交通政策，塑造了今天"路宽、车快、人行次要"的公共空间格局。当一座城市的尺度按汽车时速来设计，步行便从"基本权利"退化为"可以忍受的副产品"。对于依赖听觉、触觉、记忆与导盲杖建构空间图景的视障者而言，这种尺度错位尤其致命：宽阔的路口意味着更长的暴露时间，缺失的路缘坡道意味着一次不可预期的跌落，机动车道与人行区域之间没有高差分界，则意味着脚下空间的安全边界被彻底抹去。</w:t>
      </w:r>
    </w:p>
    <w:p>
      <w:pPr>
        <w:spacing w:after="80" w:before="0" w:line="360"/>
        <w:ind w:firstLine="480"/>
      </w:pPr>
      <w:r>
        <w:rPr>
          <w:rFonts w:ascii="Times New Roman" w:cs="Times New Roman" w:eastAsia="宋体" w:hAnsi="Times New Roman"/>
          <w:sz w:val="24"/>
          <w:szCs w:val="24"/>
        </w:rPr>
        <w:t xml:space="preserve">马来西亚统计局（Department of Statistics Malaysia, DOSM）估计，2024年马来西亚总人口约3,410万，较2023年的3,340万增长约1.9%（DOSM, 2024）。在这样一个多族群、城乡差异显著且正处于快速老龄化进程的国家，任何一笔关于"视障人口"的精确数字都需格外谨慎：官方残障登记（OKU 登记）长期存在漏报与认定门槛问题，登记人数往往低于实际存在视觉功能障碍的人群规模。因此，本文不援引未经统一口径核验的"数十万"具体数值，而将其表述为"规模可观、且随人口老龄化趋于增长"的群体——这一点本身，就构成了无障碍政策不能被继续推迟的理由（World Health Organization, 2023）。</w:t>
      </w:r>
    </w:p>
    <w:p>
      <w:pPr>
        <w:spacing w:after="80" w:before="0" w:line="360"/>
        <w:ind w:firstLine="480"/>
      </w:pPr>
      <w:r>
        <w:rPr>
          <w:rFonts w:ascii="Times New Roman" w:cs="Times New Roman" w:eastAsia="宋体" w:hAnsi="Times New Roman"/>
          <w:sz w:val="24"/>
          <w:szCs w:val="24"/>
        </w:rPr>
        <w:t xml:space="preserve">从地理分布看，吉隆坡首都圈（Klang Valley）因轨道交通建设相对密集，站点内部设施与部分新建商业综合体已具备一定无障碍基础；而吉隆坡以外的主要城市——槟城乔治市、怡保、新山、哥打京那巴鲁等——的道路系统则更多保留了"路侧排水沟＋临街商户＋摩托车随意停靠"的混合形态。视障者的出行半径因此被压缩：能走通的是"从家门到门口那一段"，走不通的是"从家门到公交站、到诊所、到学校、到就业场所"的完整链条。所谓"独立出行"，恰恰取决于后者的完整性，而非前者的局部改善。</w:t>
      </w:r>
    </w:p>
    <w:p>
      <w:pPr>
        <w:pStyle w:val="Heading2"/>
      </w:pPr>
      <w:r>
        <w:rPr>
          <w:rFonts w:ascii="Times New Roman" w:cs="Times New Roman" w:eastAsia="黑体" w:hAnsi="Times New Roman"/>
        </w:rPr>
        <w:t xml:space="preserve">（二）基础人行道缺失与"人车混行"</w:t>
      </w:r>
    </w:p>
    <w:p>
      <w:pPr>
        <w:spacing w:after="80" w:before="0" w:line="360"/>
        <w:ind w:firstLine="480"/>
      </w:pPr>
      <w:r>
        <w:rPr>
          <w:rFonts w:ascii="Times New Roman" w:cs="Times New Roman" w:eastAsia="宋体" w:hAnsi="Times New Roman"/>
          <w:sz w:val="24"/>
          <w:szCs w:val="24"/>
        </w:rPr>
        <w:t xml:space="preserve">马来西亚绝大多数城市的道路设计缺乏连续的人行道系统。道路边缘通常直接连接露天排水沟（longkang）或车行道，行人被迫在机动车之间穿梭，视障者更因无法依靠视觉预判来车距离而处于极高风险。这种"排水沟即路缘"的空间形态，在热带多雨气候下进一步恶化：沟盖破损、积水、青苔与落叶共同构成看不见的陷阱，而暴雨时行人被迫让位于车辆、退至更危险的边缘，几乎是许多社区雨季的日常。</w:t>
      </w:r>
    </w:p>
    <w:p>
      <w:pPr>
        <w:spacing w:after="80" w:before="0" w:line="360"/>
        <w:ind w:firstLine="480"/>
      </w:pPr>
      <w:r>
        <w:rPr>
          <w:rFonts w:ascii="Times New Roman" w:cs="Times New Roman" w:eastAsia="宋体" w:hAnsi="Times New Roman"/>
          <w:sz w:val="24"/>
          <w:szCs w:val="24"/>
        </w:rPr>
        <w:t xml:space="preserve">需要追问的是：这是否仅仅是"财政不足"可以解释的问题？如果人行道从一开始就没有被写入道路的横断面标准，那么即便新建道路，也会在拓宽车道、增设停车位的优先级挤压下再次被省略。换言之，缺的不是一段可以修补的路沿，而是"行人空间不可压缩"的制度共识。在马来西亚的联邦—州—地方三层治理结构中，道路建设与维护权限分散，联邦级工程部（Jabatan Kerja Raya, JKR）负责联邦道路标准，州政府与地方政府（Pihak Berkuasa Tempatan, PBT）负责地方道路与街巷，这种分工若无明确的无障碍绩效指标，极易形成"人人有责、无人负责"的责任空档。</w:t>
      </w:r>
    </w:p>
    <w:p>
      <w:pPr>
        <w:pStyle w:val="Heading2"/>
      </w:pPr>
      <w:r>
        <w:rPr>
          <w:rFonts w:ascii="Times New Roman" w:cs="Times New Roman" w:eastAsia="黑体" w:hAnsi="Times New Roman"/>
        </w:rPr>
        <w:t xml:space="preserve">（三）TGSI 不连续与设置畸变</w:t>
      </w:r>
    </w:p>
    <w:p>
      <w:pPr>
        <w:spacing w:after="80" w:before="0" w:line="360"/>
        <w:ind w:firstLine="480"/>
      </w:pPr>
      <w:r>
        <w:rPr>
          <w:rFonts w:ascii="Times New Roman" w:cs="Times New Roman" w:eastAsia="宋体" w:hAnsi="Times New Roman"/>
          <w:sz w:val="24"/>
          <w:szCs w:val="24"/>
        </w:rPr>
        <w:t xml:space="preserve">即便在吉隆坡市中心、部分大型交通枢纽或新建商业项目周边已经铺设触觉地面指示器（Tactile Ground Surface Indicators, TGSI，即俗称的"盲道"），也普遍存在三类典型问题。第一是"断头盲道"：盲道在路口、施工围挡、临时摊位点戛然而止，使用者被迫在没有任何提示的情况下重新判断方位；第二是"障碍物阻断"：电线杆、变压器箱、违停摩托车、广告牌、餐饮外摆与停放的推车直接压占行进路径，迫使使用者偏离既定轨迹；第三是"导向畸变"：盲道在缺乏提醒的情况下转向，甚至指向排水沟、墙壁、台阶边缘或车行道，把本应提供安全的信息变成了危险指令。</w:t>
      </w:r>
    </w:p>
    <w:p>
      <w:pPr>
        <w:spacing w:after="80" w:before="0" w:line="360"/>
        <w:ind w:firstLine="480"/>
      </w:pPr>
      <w:r>
        <w:rPr>
          <w:rFonts w:ascii="Times New Roman" w:cs="Times New Roman" w:eastAsia="宋体" w:hAnsi="Times New Roman"/>
          <w:sz w:val="24"/>
          <w:szCs w:val="24"/>
        </w:rPr>
        <w:t xml:space="preserve">这些现象的共同本质，是 TGSI 被当作"装饰性合规"而非"信息性设施"。一条合格的导向块（directional indicator）必须让使用者知道"前方可行且方向明确"，一块合格的警告块（warning indicator）必须在"危险临近"之前留出足以制动、转向与决策的提前量；两者的间距、错位率、对比度与连续性，都需要依循标准并经由实际使用测试。马来西亚现行参考的 MS 1331 系列与 JKR 通用设计规范（含 UBBL 34A 相关条文）对 TGSI 的设置已有技术规定，但"图纸合规"与"脚下可用"之间，隔着施工偷工、竣工后占用、日常维护缺失三道鸿沟。当一条盲道在验收时被认定为"已铺设"，而在使用者脚下却是"已失效"，规范便失去了对真实权利的保障能力。</w:t>
      </w:r>
    </w:p>
    <w:p>
      <w:pPr>
        <w:pStyle w:val="Heading2"/>
      </w:pPr>
      <w:r>
        <w:rPr>
          <w:rFonts w:ascii="Times New Roman" w:cs="Times New Roman" w:eastAsia="黑体" w:hAnsi="Times New Roman"/>
        </w:rPr>
        <w:t xml:space="preserve">（四）制度与执法维度的脱节</w:t>
      </w:r>
    </w:p>
    <w:p>
      <w:pPr>
        <w:spacing w:after="80" w:before="0" w:line="360"/>
        <w:ind w:firstLine="480"/>
      </w:pPr>
      <w:r>
        <w:rPr>
          <w:rFonts w:ascii="Times New Roman" w:cs="Times New Roman" w:eastAsia="宋体" w:hAnsi="Times New Roman"/>
          <w:sz w:val="24"/>
          <w:szCs w:val="24"/>
        </w:rPr>
        <w:t xml:space="preserve">马来西亚于2008年颁布《残疾人法案》（Persons with Disabilities Act 2008, Act 685），确立了残障人士在教育、就业、交通、信息与通信等领域的基本权利，并设立国家残障理事会（National Council for Persons with Disabilities, MPDK）作为协调机构。在工程部与地方政府层面，马来西亚也通过建筑通则（Uniform Building By-Laws, UBBL）第34A条及相关 JKR 规范，对无障碍通行提出技术要求（Government of Malaysia, 2008；Public Works Department Malaysia, 2022）。</w:t>
      </w:r>
    </w:p>
    <w:p>
      <w:pPr>
        <w:spacing w:after="80" w:before="0" w:line="360"/>
        <w:ind w:firstLine="480"/>
      </w:pPr>
      <w:r>
        <w:rPr>
          <w:rFonts w:ascii="Times New Roman" w:cs="Times New Roman" w:eastAsia="宋体" w:hAnsi="Times New Roman"/>
          <w:sz w:val="24"/>
          <w:szCs w:val="24"/>
        </w:rPr>
        <w:t xml:space="preserve">然而，Act 685 的整体取向偏重权利宣示与社会福利，对私人业主、开发商与地方政府的违反行为，并未配置清晰、可执行的惩罚条款与救济路径；无障碍标准的执行与追责在不同 PBT 之间差异显著。其结果是：规划阶段，无障碍常被处理为"附加项"而非"前置条件"；施工阶段，监理单位缺少以使用者体验为核心的检查清单；验收阶段，缺少视障者参与的现场实测；使用阶段，对占道经营、违停、施工围挡侵占无障碍通道的行为，执法力度高度不确定。制度并非空白，而是"责任、罚则、监督"三者的链条过松——这正是马来西亚无障碍困境中最需要被拧紧的那一颗螺丝。</w:t>
      </w:r>
    </w:p>
    <w:p>
      <w:pPr>
        <w:spacing w:after="80" w:before="160"/>
        <w:jc w:val="center"/>
      </w:pPr>
      <w:r>
        <w:rPr>
          <w:rFonts w:ascii="Times New Roman" w:cs="Times New Roman" w:eastAsia="宋体" w:hAnsi="Times New Roman"/>
          <w:b/>
          <w:bCs/>
          <w:sz w:val="21"/>
          <w:szCs w:val="21"/>
        </w:rPr>
        <w:t xml:space="preserve">表1　马来西亚视障出行障碍的类型、成因与责任归属</w:t>
      </w:r>
    </w:p>
    <w:tbl>
      <w:tblPr>
        <w:tblW w:type="dxa" w:w="8160"/>
        <w:tblBorders>
          <w:top w:val="single" w:color="auto" w:sz="4"/>
          <w:left w:val="single" w:color="auto" w:sz="4"/>
          <w:bottom w:val="single" w:color="auto" w:sz="4"/>
          <w:right w:val="single" w:color="auto" w:sz="4"/>
          <w:insideH w:val="single" w:color="auto" w:sz="4"/>
          <w:insideV w:val="single" w:color="auto" w:sz="4"/>
        </w:tblBorders>
      </w:tblPr>
      <w:tblGrid>
        <w:gridCol w:w="1400"/>
        <w:gridCol w:w="2600"/>
        <w:gridCol w:w="2560"/>
        <w:gridCol w:w="1600"/>
      </w:tblGrid>
      <w:tr>
        <w:trPr>
          <w:tblHeader/>
        </w:trPr>
        <w:tc>
          <w:tcPr>
            <w:tcW w:type="dxa" w:w="14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障碍类型</w:t>
            </w:r>
          </w:p>
        </w:tc>
        <w:tc>
          <w:tcPr>
            <w:tcW w:type="dxa" w:w="26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典型表现</w:t>
            </w:r>
          </w:p>
        </w:tc>
        <w:tc>
          <w:tcPr>
            <w:tcW w:type="dxa" w:w="256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主要成因</w:t>
            </w:r>
          </w:p>
        </w:tc>
        <w:tc>
          <w:tcPr>
            <w:tcW w:type="dxa" w:w="16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关键责任主体</w:t>
            </w:r>
          </w:p>
        </w:tc>
      </w:tr>
      <w:tr>
        <w:tc>
          <w:tcPr>
            <w:tcW w:type="dxa" w:w="14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结构性障碍</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人行道缺失、路侧排水沟无防护、路缘无坡道</w:t>
            </w:r>
          </w:p>
        </w:tc>
        <w:tc>
          <w:tcPr>
            <w:tcW w:type="dxa" w:w="2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道路横断面标准未保障行人空间</w:t>
            </w:r>
          </w:p>
        </w:tc>
        <w:tc>
          <w:tcPr>
            <w:tcW w:type="dxa" w:w="1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JKR、州政府、PBT</w:t>
            </w:r>
          </w:p>
        </w:tc>
      </w:tr>
      <w:tr>
        <w:tc>
          <w:tcPr>
            <w:tcW w:type="dxa" w:w="14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连续性障碍</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TGSI 中断、错位、转向无提示、指向危险</w:t>
            </w:r>
          </w:p>
        </w:tc>
        <w:tc>
          <w:tcPr>
            <w:tcW w:type="dxa" w:w="2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施工不规范、维护缺位、图纸与实况脱节</w:t>
            </w:r>
          </w:p>
        </w:tc>
        <w:tc>
          <w:tcPr>
            <w:tcW w:type="dxa" w:w="1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开发商、承包商、PBT</w:t>
            </w:r>
          </w:p>
        </w:tc>
      </w:tr>
      <w:tr>
        <w:tc>
          <w:tcPr>
            <w:tcW w:type="dxa" w:w="14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侵占性障碍</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摩托车违停、摊位外摆、临时施工围挡</w:t>
            </w:r>
          </w:p>
        </w:tc>
        <w:tc>
          <w:tcPr>
            <w:tcW w:type="dxa" w:w="2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日常执法不稳定、惩戒成本低</w:t>
            </w:r>
          </w:p>
        </w:tc>
        <w:tc>
          <w:tcPr>
            <w:tcW w:type="dxa" w:w="1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PBT、执法部门</w:t>
            </w:r>
          </w:p>
        </w:tc>
      </w:tr>
      <w:tr>
        <w:tc>
          <w:tcPr>
            <w:tcW w:type="dxa" w:w="14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信息性障碍</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路口无声音提示、无无障碍过街相位、导航失效</w:t>
            </w:r>
          </w:p>
        </w:tc>
        <w:tc>
          <w:tcPr>
            <w:tcW w:type="dxa" w:w="2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智能设施与慢行系统未衔接</w:t>
            </w:r>
          </w:p>
        </w:tc>
        <w:tc>
          <w:tcPr>
            <w:tcW w:type="dxa" w:w="1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交通局、电信与数据提供方</w:t>
            </w:r>
          </w:p>
        </w:tc>
      </w:tr>
      <w:tr>
        <w:tc>
          <w:tcPr>
            <w:tcW w:type="dxa" w:w="14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制度性障碍</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验收无使用者参与、投诉无闭环、跨层级协同弱</w:t>
            </w:r>
          </w:p>
        </w:tc>
        <w:tc>
          <w:tcPr>
            <w:tcW w:type="dxa" w:w="2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Act 685 罚则与追责机制不足</w:t>
            </w:r>
          </w:p>
        </w:tc>
        <w:tc>
          <w:tcPr>
            <w:tcW w:type="dxa" w:w="1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联邦政府、MPDK、PBT</w:t>
            </w:r>
          </w:p>
        </w:tc>
      </w:tr>
    </w:tbl>
    <w:p>
      <w:pPr>
        <w:spacing w:after="160" w:before="60"/>
      </w:pPr>
      <w:r>
        <w:rPr>
          <w:rFonts w:ascii="Times New Roman" w:cs="Times New Roman" w:eastAsia="宋体" w:hAnsi="Times New Roman"/>
          <w:sz w:val="20"/>
          <w:szCs w:val="20"/>
        </w:rPr>
        <w:t xml:space="preserve">注：本表为依据政策文本与实地问题归纳的分析框架，非官方统计数据。TGSI＝触觉地面指示器；JKR＝工程部；PBT＝地方政府；MPDK＝国家残障理事会。</w:t>
      </w:r>
    </w:p>
    <w:p>
      <w:pPr>
        <w:pStyle w:val="Heading1"/>
      </w:pPr>
      <w:r>
        <w:rPr>
          <w:rFonts w:ascii="Times New Roman" w:cs="Times New Roman" w:eastAsia="黑体" w:hAnsi="Times New Roman"/>
        </w:rPr>
        <w:t xml:space="preserve">二、东南亚与日韩视障出行环境现况扫描</w:t>
      </w:r>
    </w:p>
    <w:p>
      <w:pPr>
        <w:spacing w:after="80" w:before="0" w:line="360"/>
        <w:ind w:firstLine="480"/>
      </w:pPr>
      <w:r>
        <w:rPr>
          <w:rFonts w:ascii="Times New Roman" w:cs="Times New Roman" w:eastAsia="宋体" w:hAnsi="Times New Roman"/>
          <w:sz w:val="24"/>
          <w:szCs w:val="24"/>
        </w:rPr>
        <w:t xml:space="preserve">纵观周边国家与地区，无障碍出行的成熟度呈现清晰的梯次差异：既有将无障碍内化为通用设计常识的日本、韩国，也有被视为东盟标杆的新加坡，还有与马来西亚处境相近、同处转型期的泰国、印度尼西亚。这种差异并非源于"谁更关心残障群体"的道德高下，而主要来自三件事是否同时成立：标准是否强制、建设是否连续、维护是否有人负责。</w:t>
      </w:r>
    </w:p>
    <w:p>
      <w:pPr>
        <w:pStyle w:val="Heading2"/>
      </w:pPr>
      <w:r>
        <w:rPr>
          <w:rFonts w:ascii="Times New Roman" w:cs="Times New Roman" w:eastAsia="黑体" w:hAnsi="Times New Roman"/>
        </w:rPr>
        <w:t xml:space="preserve">（一）日本：从点字块到通用设计的成熟网络</w:t>
      </w:r>
    </w:p>
    <w:p>
      <w:pPr>
        <w:spacing w:after="80" w:before="0" w:line="360"/>
        <w:ind w:firstLine="480"/>
      </w:pPr>
      <w:r>
        <w:rPr>
          <w:rFonts w:ascii="Times New Roman" w:cs="Times New Roman" w:eastAsia="宋体" w:hAnsi="Times New Roman"/>
          <w:sz w:val="24"/>
          <w:szCs w:val="24"/>
        </w:rPr>
        <w:t xml:space="preserve">日本是触觉铺装（Tenji Block，"点字块"）的发源地。自1967年冈山市首次铺设以来，点字块已从"为视障者专门设计"演变为城市基础设施的默认组成。其关键不在某一段盲道的工艺，而在于整套逻辑的闭环：从新干线、地铁、普通铁路车站到街道，连续的导向块与警告块无缝衔接；路口配合声音提示信号灯，以不同音色（如节奏音、鸟鸣声、旋律）区分可通行方向与剩余时间；站内电梯、扶梯、售票机与屏蔽门均以标准化位置与触觉标识组织，使用者可将不同城市的通行经验迁移复用。</w:t>
      </w:r>
    </w:p>
    <w:p>
      <w:pPr>
        <w:spacing w:after="80" w:before="0" w:line="360"/>
        <w:ind w:firstLine="480"/>
      </w:pPr>
      <w:r>
        <w:rPr>
          <w:rFonts w:ascii="Times New Roman" w:cs="Times New Roman" w:eastAsia="宋体" w:hAnsi="Times New Roman"/>
          <w:sz w:val="24"/>
          <w:szCs w:val="24"/>
        </w:rPr>
        <w:t xml:space="preserve">值得马来西亚借鉴的，是日本"以信息连续性替代单点设施"的思路。一条合格的路径不是"某处有一块砖"，而是"在任何需要决策的位置都能读到下一步信息"。日本《无障碍法》及《道路运输车辆法》《铁道事业法》等配套规范，将建筑物、道路、交通工具纳入同一套无障碍体系，并通过地方政府无障碍基本构想与定期评估推动落实（Cabinet Office of Japan, 2024）。当然，日本也面临老旧街区改造、私营铁路标准不一与灾害时疏散信息可及性等挑战；其经验的价值在于证明"长期、统一、可迭代的标准"能够形成复利，而非某一届政府的政绩工程。</w:t>
      </w:r>
    </w:p>
    <w:p>
      <w:pPr>
        <w:pStyle w:val="Heading2"/>
      </w:pPr>
      <w:r>
        <w:rPr>
          <w:rFonts w:ascii="Times New Roman" w:cs="Times New Roman" w:eastAsia="黑体" w:hAnsi="Times New Roman"/>
        </w:rPr>
        <w:t xml:space="preserve">（二）韩国：认证体系与智慧路口的结合</w:t>
      </w:r>
    </w:p>
    <w:p>
      <w:pPr>
        <w:spacing w:after="80" w:before="0" w:line="360"/>
        <w:ind w:firstLine="480"/>
      </w:pPr>
      <w:r>
        <w:rPr>
          <w:rFonts w:ascii="Times New Roman" w:cs="Times New Roman" w:eastAsia="宋体" w:hAnsi="Times New Roman"/>
          <w:sz w:val="24"/>
          <w:szCs w:val="24"/>
        </w:rPr>
        <w:t xml:space="preserve">韩国采取"硬标准＋认证激励"双轨路径。《交通약자 이동편의 증진법》（交通弱势群体移动便利增进法）及其配套细则，对道路、公共交通与公共建筑的无障碍提出明确要求，并通过"无障碍环境认证（Barrier-Free Certification）"体系，对建筑、旅游设施、道路等对象是否符合标准进行评定与公示，使无障碍从"道德义务"转化为"可被识别、可被选择"的市场信号（Ministry of Land, Infrastructure and Transport, Republic of Korea, 2023）。</w:t>
      </w:r>
    </w:p>
    <w:p>
      <w:pPr>
        <w:spacing w:after="80" w:before="0" w:line="360"/>
        <w:ind w:firstLine="480"/>
      </w:pPr>
      <w:r>
        <w:rPr>
          <w:rFonts w:ascii="Times New Roman" w:cs="Times New Roman" w:eastAsia="宋体" w:hAnsi="Times New Roman"/>
          <w:sz w:val="24"/>
          <w:szCs w:val="24"/>
        </w:rPr>
        <w:t xml:space="preserve">在智慧化层面，韩国在重点路口铺设结合 IoT 传感器的智慧盲道，配合手机应用的声波／语音导航，为视障者提供路口几何、剩余过街时间与前方障碍的提示。这一做法提示马来西亚：当物理盲道在短期内难以全域铺开时，可以利用低成本的"数字盲道"优先覆盖高风险节点，以补强而非取代物理设施。但同时必须警惕"技术例外论"——导航应用在强光、暴雨、网络不稳定或手机电量不足时会失效，传感器亦可能因遮挡、损坏与数据过期产生误报。因此，智慧辅助必须叠加于可用的人行与过街设施之上，而不能成为削减基础建设的理由。</w:t>
      </w:r>
    </w:p>
    <w:p>
      <w:pPr>
        <w:pStyle w:val="Heading2"/>
      </w:pPr>
      <w:r>
        <w:rPr>
          <w:rFonts w:ascii="Times New Roman" w:cs="Times New Roman" w:eastAsia="黑体" w:hAnsi="Times New Roman"/>
        </w:rPr>
        <w:t xml:space="preserve">（三）新加坡：东盟标杆的"连续衔接"逻辑</w:t>
      </w:r>
    </w:p>
    <w:p>
      <w:pPr>
        <w:spacing w:after="80" w:before="0" w:line="360"/>
        <w:ind w:firstLine="480"/>
      </w:pPr>
      <w:r>
        <w:rPr>
          <w:rFonts w:ascii="Times New Roman" w:cs="Times New Roman" w:eastAsia="宋体" w:hAnsi="Times New Roman"/>
          <w:sz w:val="24"/>
          <w:szCs w:val="24"/>
        </w:rPr>
        <w:t xml:space="preserve">新加坡的无障碍建设常被概括为"无缝连接与全覆盖"。在《无障碍通行建筑规范》（Code on Accessibility in the Built Environment，由建设局 BCA 发布并更新）指引下，新加坡推行"全龄友好与无障碍步行连贯网络"：风雨连廊（sheltered walkway）、无障碍天桥与地下通道、可听觉交通灯、触觉铺装与公交低地板车辆相互衔接，力图实现从住宅、学校、交通枢纽到就业场所的连续可达（Building and Construction Authority, Singapore, 2024）。</w:t>
      </w:r>
    </w:p>
    <w:p>
      <w:pPr>
        <w:spacing w:after="80" w:before="0" w:line="360"/>
        <w:ind w:firstLine="480"/>
      </w:pPr>
      <w:r>
        <w:rPr>
          <w:rFonts w:ascii="Times New Roman" w:cs="Times New Roman" w:eastAsia="宋体" w:hAnsi="Times New Roman"/>
          <w:sz w:val="24"/>
          <w:szCs w:val="24"/>
        </w:rPr>
        <w:t xml:space="preserve">新加坡的优势可归结为三点：一是空间尺度可控，组屋—邻里中心—公交站的"社区服务圈"天然适合分级建设；二是强中央协调，陆路交通管理局（LTA）、建屋发展局（HDB）、BCA 与市镇理事会之间的权责相对清晰；三是持续迭代，将无障碍从"新建达标"推进到"存量改造＋运营维护"。据公开资料，新加坡98%的巴士站与全部地铁站已完成无障碍设计，地铁站台与车厢之间使用填缝橡胶条以减少轮椅与代步工具的高差风险（People's Republic of China: Ministry of Civil Affairs, 2023）。这些数字背后真正值得学习的是"可核验的覆盖率"，而非覆盖率本身——没有公开的进度表与验收口径，任何"全覆盖"都难以被监督。</w:t>
      </w:r>
    </w:p>
    <w:p>
      <w:pPr>
        <w:spacing w:after="80" w:before="0" w:line="360"/>
        <w:ind w:firstLine="480"/>
      </w:pPr>
      <w:r>
        <w:rPr>
          <w:rFonts w:ascii="Times New Roman" w:cs="Times New Roman" w:eastAsia="宋体" w:hAnsi="Times New Roman"/>
          <w:sz w:val="24"/>
          <w:szCs w:val="24"/>
        </w:rPr>
        <w:t xml:space="preserve">对马来西亚而言，新加坡经验的可迁移部分主要在"分级＋连贯＋可核验"，而非照搬其财政与治理密度。马来西亚可以更务实的方式起步：先把每个 LRT/MRT/BRT 站点周边一公里建成连续的"无障碍示范走廊"，再把标准向邻里扩散，而不必等待"全国一天铺完"。</w:t>
      </w:r>
    </w:p>
    <w:p>
      <w:pPr>
        <w:pStyle w:val="Heading2"/>
      </w:pPr>
      <w:r>
        <w:rPr>
          <w:rFonts w:ascii="Times New Roman" w:cs="Times New Roman" w:eastAsia="黑体" w:hAnsi="Times New Roman"/>
        </w:rPr>
        <w:t xml:space="preserve">（四）东南亚转型期国家：与马来西亚处境相近的镜鉴</w:t>
      </w:r>
    </w:p>
    <w:p>
      <w:pPr>
        <w:spacing w:after="80" w:before="0" w:line="360"/>
        <w:ind w:firstLine="480"/>
      </w:pPr>
      <w:r>
        <w:rPr>
          <w:rFonts w:ascii="Times New Roman" w:cs="Times New Roman" w:eastAsia="宋体" w:hAnsi="Times New Roman"/>
          <w:sz w:val="24"/>
          <w:szCs w:val="24"/>
        </w:rPr>
        <w:t xml:space="preserve">泰国、印度尼西亚等国与马来西亚面临相似的底层约束：主城区在试点区域铺设盲道，但普遍存在"最后一公里"断层、占用严重与维护缺失。曼谷、雅加达等大都市在轨道交通带动下加速了站点无障碍建设，却常出现"站内能走、出站断连"的尴尬；旅游区的高标准样板与社区日常的低标准现实并存，恰如马来西亚部分新建综合体与周边街巷的强烈反差。转型期国家的共同教训是：若无障碍仅随明星项目、旅游区或国际赛事被动建设，便难以沉淀为稳定的公共服务；只有把它写入日常的道路养护预算、占道执法与土地开发条件，才谈得上"转型完成"。</w:t>
      </w:r>
    </w:p>
    <w:p>
      <w:pPr>
        <w:spacing w:after="80" w:before="160"/>
        <w:jc w:val="center"/>
      </w:pPr>
      <w:r>
        <w:rPr>
          <w:rFonts w:ascii="Times New Roman" w:cs="Times New Roman" w:eastAsia="宋体" w:hAnsi="Times New Roman"/>
          <w:b/>
          <w:bCs/>
          <w:sz w:val="21"/>
          <w:szCs w:val="21"/>
        </w:rPr>
        <w:t xml:space="preserve">表2　区域无障碍模式的成熟度与可借鉴要素</w:t>
      </w:r>
    </w:p>
    <w:tbl>
      <w:tblPr>
        <w:tblW w:type="dxa" w:w="8960"/>
        <w:tblBorders>
          <w:top w:val="single" w:color="auto" w:sz="4"/>
          <w:left w:val="single" w:color="auto" w:sz="4"/>
          <w:bottom w:val="single" w:color="auto" w:sz="4"/>
          <w:right w:val="single" w:color="auto" w:sz="4"/>
          <w:insideH w:val="single" w:color="auto" w:sz="4"/>
          <w:insideV w:val="single" w:color="auto" w:sz="4"/>
        </w:tblBorders>
      </w:tblPr>
      <w:tblGrid>
        <w:gridCol w:w="1500"/>
        <w:gridCol w:w="1560"/>
        <w:gridCol w:w="3300"/>
        <w:gridCol w:w="2600"/>
      </w:tblGrid>
      <w:tr>
        <w:trPr>
          <w:tblHeader/>
        </w:trPr>
        <w:tc>
          <w:tcPr>
            <w:tcW w:type="dxa" w:w="15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国家/地区</w:t>
            </w:r>
          </w:p>
        </w:tc>
        <w:tc>
          <w:tcPr>
            <w:tcW w:type="dxa" w:w="156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成熟度</w:t>
            </w:r>
          </w:p>
        </w:tc>
        <w:tc>
          <w:tcPr>
            <w:tcW w:type="dxa" w:w="33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核心机制</w:t>
            </w:r>
          </w:p>
        </w:tc>
        <w:tc>
          <w:tcPr>
            <w:tcW w:type="dxa" w:w="26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对马来西亚的借鉴边界</w:t>
            </w:r>
          </w:p>
        </w:tc>
      </w:tr>
      <w:tr>
        <w:tc>
          <w:tcPr>
            <w:tcW w:type="dxa" w:w="15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日本</w:t>
            </w:r>
          </w:p>
        </w:tc>
        <w:tc>
          <w:tcPr>
            <w:tcW w:type="dxa" w:w="1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成熟</w:t>
            </w:r>
          </w:p>
        </w:tc>
        <w:tc>
          <w:tcPr>
            <w:tcW w:type="dxa" w:w="33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通用设计＋标准化点字块＋全链条信息连续</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标准体系可借鉴，国土与治理尺度差异大</w:t>
            </w:r>
          </w:p>
        </w:tc>
      </w:tr>
      <w:tr>
        <w:tc>
          <w:tcPr>
            <w:tcW w:type="dxa" w:w="15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韩国</w:t>
            </w:r>
          </w:p>
        </w:tc>
        <w:tc>
          <w:tcPr>
            <w:tcW w:type="dxa" w:w="1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成熟</w:t>
            </w:r>
          </w:p>
        </w:tc>
        <w:tc>
          <w:tcPr>
            <w:tcW w:type="dxa" w:w="33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无障碍认证＋IoT 智慧路口＋语音导航</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智慧方案须以基础慢行设施为前提</w:t>
            </w:r>
          </w:p>
        </w:tc>
      </w:tr>
      <w:tr>
        <w:tc>
          <w:tcPr>
            <w:tcW w:type="dxa" w:w="15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新加坡</w:t>
            </w:r>
          </w:p>
        </w:tc>
        <w:tc>
          <w:tcPr>
            <w:tcW w:type="dxa" w:w="1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成熟（东盟标杆）</w:t>
            </w:r>
          </w:p>
        </w:tc>
        <w:tc>
          <w:tcPr>
            <w:tcW w:type="dxa" w:w="33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连贯步行网络＋全岛可核验覆盖＋存量改造</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分级示范模式可迁移，财政密度不可照搬</w:t>
            </w:r>
          </w:p>
        </w:tc>
      </w:tr>
      <w:tr>
        <w:tc>
          <w:tcPr>
            <w:tcW w:type="dxa" w:w="15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中国</w:t>
            </w:r>
          </w:p>
        </w:tc>
        <w:tc>
          <w:tcPr>
            <w:tcW w:type="dxa" w:w="1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快速建设后精细化</w:t>
            </w:r>
          </w:p>
        </w:tc>
        <w:tc>
          <w:tcPr>
            <w:tcW w:type="dxa" w:w="33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高密度硬件覆盖＋防占用与精细化维护</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规模优势难复制，治理经验可参考</w:t>
            </w:r>
          </w:p>
        </w:tc>
      </w:tr>
      <w:tr>
        <w:tc>
          <w:tcPr>
            <w:tcW w:type="dxa" w:w="15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泰国/印尼</w:t>
            </w:r>
          </w:p>
        </w:tc>
        <w:tc>
          <w:tcPr>
            <w:tcW w:type="dxa" w:w="15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转型期</w:t>
            </w:r>
          </w:p>
        </w:tc>
        <w:tc>
          <w:tcPr>
            <w:tcW w:type="dxa" w:w="33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站点带动＋旅游区试点</w:t>
            </w:r>
          </w:p>
        </w:tc>
        <w:tc>
          <w:tcPr>
            <w:tcW w:type="dxa" w:w="26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同为分权约束，适合对照基层执法</w:t>
            </w:r>
          </w:p>
        </w:tc>
      </w:tr>
    </w:tbl>
    <w:p>
      <w:pPr>
        <w:spacing w:after="160" w:before="60"/>
      </w:pPr>
      <w:r>
        <w:rPr>
          <w:rFonts w:ascii="Times New Roman" w:cs="Times New Roman" w:eastAsia="宋体" w:hAnsi="Times New Roman"/>
          <w:sz w:val="20"/>
          <w:szCs w:val="20"/>
        </w:rPr>
        <w:t xml:space="preserve">注：成熟度为本研究基于政策与实践描述的类型化判断，非量化排名。</w:t>
      </w:r>
    </w:p>
    <w:p>
      <w:pPr>
        <w:pStyle w:val="Heading1"/>
      </w:pPr>
      <w:r>
        <w:rPr>
          <w:rFonts w:ascii="Times New Roman" w:cs="Times New Roman" w:eastAsia="黑体" w:hAnsi="Times New Roman"/>
        </w:rPr>
        <w:t xml:space="preserve">三、马中视障出行环境多维对比</w:t>
      </w:r>
    </w:p>
    <w:p>
      <w:pPr>
        <w:spacing w:after="80" w:before="0" w:line="360"/>
        <w:ind w:firstLine="480"/>
      </w:pPr>
      <w:r>
        <w:rPr>
          <w:rFonts w:ascii="Times New Roman" w:cs="Times New Roman" w:eastAsia="宋体" w:hAnsi="Times New Roman"/>
          <w:sz w:val="24"/>
          <w:szCs w:val="24"/>
        </w:rPr>
        <w:t xml:space="preserve">中国与马来西亚在城市化进程、人口密度、土地开发模式与交通投资能力上存在显著差异，两国视障出行环境因而呈现不同特征：中国在一二三线城市主干道、地铁站与主要公共场所已实现盲道高密度覆盖，治理重点逐步转向"防占用与精细化维护"；马来西亚则仍处于"基础人行道与无障碍硬件严重不足"的初级阶段。这种差异不宜被简化为"谁更文明"，而应被拆解为财政能力、制度执行力、空间密度与公众参与程度的组合差异。</w:t>
      </w:r>
    </w:p>
    <w:p>
      <w:pPr>
        <w:spacing w:after="80" w:before="160"/>
        <w:jc w:val="center"/>
      </w:pPr>
      <w:r>
        <w:rPr>
          <w:rFonts w:ascii="Times New Roman" w:cs="Times New Roman" w:eastAsia="宋体" w:hAnsi="Times New Roman"/>
          <w:b/>
          <w:bCs/>
          <w:sz w:val="21"/>
          <w:szCs w:val="21"/>
        </w:rPr>
        <w:t xml:space="preserve">表3　中国与马来西亚视障出行环境比较</w:t>
      </w:r>
    </w:p>
    <w:tbl>
      <w:tblPr>
        <w:tblW w:type="dxa" w:w="9020"/>
        <w:tblBorders>
          <w:top w:val="single" w:color="auto" w:sz="4"/>
          <w:left w:val="single" w:color="auto" w:sz="4"/>
          <w:bottom w:val="single" w:color="auto" w:sz="4"/>
          <w:right w:val="single" w:color="auto" w:sz="4"/>
          <w:insideH w:val="single" w:color="auto" w:sz="4"/>
          <w:insideV w:val="single" w:color="auto" w:sz="4"/>
        </w:tblBorders>
      </w:tblPr>
      <w:tblGrid>
        <w:gridCol w:w="1700"/>
        <w:gridCol w:w="3660"/>
        <w:gridCol w:w="3660"/>
      </w:tblGrid>
      <w:tr>
        <w:trPr>
          <w:tblHeader/>
        </w:trPr>
        <w:tc>
          <w:tcPr>
            <w:tcW w:type="dxa" w:w="17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比较维度</w:t>
            </w:r>
          </w:p>
        </w:tc>
        <w:tc>
          <w:tcPr>
            <w:tcW w:type="dxa" w:w="366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中国</w:t>
            </w:r>
          </w:p>
        </w:tc>
        <w:tc>
          <w:tcPr>
            <w:tcW w:type="dxa" w:w="366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马来西亚</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人行道与盲道覆盖率</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主干道、地铁站及主要公共场所已实现高密度覆盖</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基础人行道极度缺乏；盲道零星分布于少数轨交站及高档商业区周边</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法律与标准约束力</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《无障碍环境建设法》将设施建设与维权升至法律与行政问责层面</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依赖 Act 685，缺乏明确惩罚与强制执行机制，监管权分散于各 PBT</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主要痛点与瓶颈</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"量大质不均"：共享单车、违停车辆、占道经营侵占严重</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"质与量双重匮乏"：缺连续人行道，出行交通安全风险极高</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公共交通衔接度</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地铁、高铁普遍配备盲道导引与站务人员接驳</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站点内部较完善，但站点出口与社区"最后一公里"接驳基本断裂</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治理阶段</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建设规模转向精细化维护与占用治理</w:t>
            </w:r>
          </w:p>
        </w:tc>
        <w:tc>
          <w:tcPr>
            <w:tcW w:type="dxa" w:w="366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补齐基础人行与无障碍硬件的初级阶段</w:t>
            </w:r>
          </w:p>
        </w:tc>
      </w:tr>
    </w:tbl>
    <w:p>
      <w:pPr>
        <w:spacing w:after="160" w:before="60"/>
      </w:pPr>
      <w:r>
        <w:rPr>
          <w:rFonts w:ascii="Times New Roman" w:cs="Times New Roman" w:eastAsia="宋体" w:hAnsi="Times New Roman"/>
          <w:sz w:val="20"/>
          <w:szCs w:val="20"/>
        </w:rPr>
        <w:t xml:space="preserve">注：本表为基于两国政策与实践的类型化对比（People's Republic of China: National People's Congress, 2023；Government of Malaysia, 2008），用于揭示治理差异，不作覆盖率量化断言。</w:t>
      </w:r>
    </w:p>
    <w:p>
      <w:pPr>
        <w:spacing w:after="80" w:before="0" w:line="360"/>
        <w:ind w:firstLine="480"/>
      </w:pPr>
      <w:r>
        <w:rPr>
          <w:rFonts w:ascii="Times New Roman" w:cs="Times New Roman" w:eastAsia="宋体" w:hAnsi="Times New Roman"/>
          <w:sz w:val="24"/>
          <w:szCs w:val="24"/>
        </w:rPr>
        <w:t xml:space="preserve">中国的经验至少给出两点启示。其一，"规模先行"能够在较短时间内建立基本网络，使无障碍从个案便利变为公共议题；其二，大规模建设一旦缺乏全生命周期维护，便会迅速退化为"视觉上的无障碍"——盲道被共享单车与违停车辆占满，其信息价值归零，甚至因凸起不连续而成为绊倒风险。这正是马来西亚必须提前规避的陷阱：与其在财政宽裕后重复"先铺后占"，不如在建成的第一天就把占用执法、日常巡检与使用者投诉闭环写入制度。</w:t>
      </w:r>
    </w:p>
    <w:p>
      <w:pPr>
        <w:spacing w:after="80" w:before="0" w:line="360"/>
        <w:ind w:firstLine="480"/>
      </w:pPr>
      <w:r>
        <w:rPr>
          <w:rFonts w:ascii="Times New Roman" w:cs="Times New Roman" w:eastAsia="宋体" w:hAnsi="Times New Roman"/>
          <w:sz w:val="24"/>
          <w:szCs w:val="24"/>
        </w:rPr>
        <w:t xml:space="preserve">反过来，马来西亚亦有值得自身珍视的起点：其多元族群社会中的社区互助传统、MAB 等专业组织的长期倡导，以及近年通过《第十三马来西亚计划》（13MP，2026—2030）对交通、通信、治水与包容性发展作出的规划投入，均为无障碍议程提供了窗口（Government of Malaysia, 2025）。问题在于，包容性表述能否从"愿景章节"下沉为"预算条目、施工图与验收表"。</w:t>
      </w:r>
    </w:p>
    <w:p>
      <w:pPr>
        <w:pStyle w:val="Heading1"/>
      </w:pPr>
      <w:r>
        <w:rPr>
          <w:rFonts w:ascii="Times New Roman" w:cs="Times New Roman" w:eastAsia="黑体" w:hAnsi="Times New Roman"/>
        </w:rPr>
        <w:t xml:space="preserve">四、马来西亚视障出行困境的优化路径</w:t>
      </w:r>
    </w:p>
    <w:p>
      <w:pPr>
        <w:spacing w:after="80" w:before="0" w:line="360"/>
        <w:ind w:firstLine="480"/>
      </w:pPr>
      <w:r>
        <w:rPr>
          <w:rFonts w:ascii="Times New Roman" w:cs="Times New Roman" w:eastAsia="宋体" w:hAnsi="Times New Roman"/>
          <w:sz w:val="24"/>
          <w:szCs w:val="24"/>
        </w:rPr>
        <w:t xml:space="preserve">结合东亚与东南亚的成功经验，马来西亚若要破解视障群体的出行难题，需从法律、规划、技术与社会治理四大维度同步发力。四项并非并列的"建议清单"，而是彼此嵌套的系统：没有法律问责，规划无法落地；没有分级建设，财政难以承受；没有智慧辅助，盲区无法覆盖；没有使用者共治，任何方案都可能在脚下失真。</w:t>
      </w:r>
    </w:p>
    <w:p>
      <w:pPr>
        <w:pStyle w:val="Heading2"/>
      </w:pPr>
      <w:r>
        <w:rPr>
          <w:rFonts w:ascii="Times New Roman" w:cs="Times New Roman" w:eastAsia="黑体" w:hAnsi="Times New Roman"/>
        </w:rPr>
        <w:t xml:space="preserve">（一）完善法律法规与惩罚机制：把权利写成可追责的义务</w:t>
      </w:r>
    </w:p>
    <w:p>
      <w:pPr>
        <w:spacing w:after="80" w:before="0" w:line="360"/>
        <w:ind w:firstLine="480"/>
      </w:pPr>
      <w:r>
        <w:rPr>
          <w:rFonts w:ascii="Times New Roman" w:cs="Times New Roman" w:eastAsia="宋体" w:hAnsi="Times New Roman"/>
          <w:sz w:val="24"/>
          <w:szCs w:val="24"/>
        </w:rPr>
        <w:t xml:space="preserve">首要任务是推动修订《2008年残疾人法案》（Act 685），在现有权利宣示基础上，明确道路、建筑、交通枢纽与公共空间无障碍建设的最低标准与违反后果：对侵占盲道、施工破坏无障碍设施、未按规定设置 TGSI 或路缘坡道的行为，设定与危害程度相匹配的罚款、整改期限与屡犯加重机制；规定地方政府（PBT）在审批道路工程时，必须将"通用设计与连续性无障碍人行道"作为强制性验收指标；建立跨部门协调机制，由 MPDK 牵头，定期公布各州与 PBT 的无障碍合规进度。</w:t>
      </w:r>
    </w:p>
    <w:p>
      <w:pPr>
        <w:spacing w:after="80" w:before="0" w:line="360"/>
        <w:ind w:firstLine="480"/>
      </w:pPr>
      <w:r>
        <w:rPr>
          <w:rFonts w:ascii="Times New Roman" w:cs="Times New Roman" w:eastAsia="宋体" w:hAnsi="Times New Roman"/>
          <w:sz w:val="24"/>
          <w:szCs w:val="24"/>
        </w:rPr>
        <w:t xml:space="preserve">修订过程中须避免两个误区。其一，罚则不应只针对"个人占道"，也应覆盖开发商、承包商与公共机构在规划、施工、维护环节的责任——把板子只打在违停者身上，等于放过制造障碍的系统。其二，法律的可诉性与可操作性同样重要：应为残障人士提供便捷的投诉、举证与救济渠道，允许使用者组织参与监督，而非仅依赖行政内部自查。只有让"不建无障碍"与"侵占无障碍"都变成明确、可预期的成本，Act 685 才能从"宣言"转为"工具"。</w:t>
      </w:r>
    </w:p>
    <w:p>
      <w:pPr>
        <w:pStyle w:val="Heading2"/>
      </w:pPr>
      <w:r>
        <w:rPr>
          <w:rFonts w:ascii="Times New Roman" w:cs="Times New Roman" w:eastAsia="黑体" w:hAnsi="Times New Roman"/>
        </w:rPr>
        <w:t xml:space="preserve">（二）推行"层次化"盲道铺设战略：从示范走廊走向网络</w:t>
      </w:r>
    </w:p>
    <w:p>
      <w:pPr>
        <w:spacing w:after="80" w:before="0" w:line="360"/>
        <w:ind w:firstLine="480"/>
      </w:pPr>
      <w:r>
        <w:rPr>
          <w:rFonts w:ascii="Times New Roman" w:cs="Times New Roman" w:eastAsia="宋体" w:hAnsi="Times New Roman"/>
          <w:sz w:val="24"/>
          <w:szCs w:val="24"/>
        </w:rPr>
        <w:t xml:space="preserve">鉴于全面铺设人行道与盲道需消耗巨大财政资源，马来西亚宜采取分级铺设策略：优先在公共交通枢纽（LRT、MRT、BRT、Bus Rapid Transit 站）、医院、康复中心、特殊教育学校、盲人服务机构及就业密集区周边1公里范围内，构建高标准的连续无障碍步行示范区，再逐步向外扩展。每一段示范走廊都应同时具备五项要素：连续人行道、合规 TGSI、无障碍路口与过街相位、可听觉提示、清晰的导视与危险预警。</w:t>
      </w:r>
    </w:p>
    <w:p>
      <w:pPr>
        <w:spacing w:after="80" w:before="0" w:line="360"/>
        <w:ind w:firstLine="480"/>
      </w:pPr>
      <w:r>
        <w:rPr>
          <w:rFonts w:ascii="Times New Roman" w:cs="Times New Roman" w:eastAsia="宋体" w:hAnsi="Times New Roman"/>
          <w:sz w:val="24"/>
          <w:szCs w:val="24"/>
        </w:rPr>
        <w:t xml:space="preserve">分层逻辑不应以"面子工程"为中心，而应以"使用频率与风险程度"为中心。一个务实的优先级可以是：第一，连接住宅区与公共交通站点的日常通勤路径；第二，连接学校、诊所与就业场所的必要出行路径；第三，高密度商业区与公共服务点。每一层都应有明确的竣工标准与年度维护预算，避免"建成即结束"的项目式思维。</w:t>
      </w:r>
    </w:p>
    <w:p>
      <w:pPr>
        <w:pStyle w:val="Heading2"/>
      </w:pPr>
      <w:r>
        <w:rPr>
          <w:rFonts w:ascii="Times New Roman" w:cs="Times New Roman" w:eastAsia="黑体" w:hAnsi="Times New Roman"/>
        </w:rPr>
        <w:t xml:space="preserve">（三）引入科技赋能与智慧辅助系统：物理盲道＋数字盲道双重护航</w:t>
      </w:r>
    </w:p>
    <w:p>
      <w:pPr>
        <w:spacing w:after="80" w:before="0" w:line="360"/>
        <w:ind w:firstLine="480"/>
      </w:pPr>
      <w:r>
        <w:rPr>
          <w:rFonts w:ascii="Times New Roman" w:cs="Times New Roman" w:eastAsia="宋体" w:hAnsi="Times New Roman"/>
          <w:sz w:val="24"/>
          <w:szCs w:val="24"/>
        </w:rPr>
        <w:t xml:space="preserve">在硬件设施短时间内难以全域覆盖的背景下，可积极引入智能辅助技术。其一，在主要交通路口安装可穿透环境噪音的可触觉与语音提示交通信号灯（Accessible Pedestrian Signals, APS），以不同音色、节奏与振动模式提示可通行方向与剩余时间，并考虑马来西亚多语言环境中的语音语言选择。其二，利用高精度 GNSS、惯性导航与计算机视觉，推广面向视障者的辅助导航应用，并在盲道关键节点（路口、转角、入口、危险边缘）嵌入无源射频（RFID）或蓝牙信标（Bluetooth Beacon），使物理路径与数字提示相互校验。其三，建立开放的障碍上报与维护调度平台，让使用者可一键标注"盲道中断、占用、破损"，数据直接流转至 PBT 工单系统。</w:t>
      </w:r>
    </w:p>
    <w:p>
      <w:pPr>
        <w:spacing w:after="80" w:before="0" w:line="360"/>
        <w:ind w:firstLine="480"/>
      </w:pPr>
      <w:r>
        <w:rPr>
          <w:rFonts w:ascii="Times New Roman" w:cs="Times New Roman" w:eastAsia="宋体" w:hAnsi="Times New Roman"/>
          <w:sz w:val="24"/>
          <w:szCs w:val="24"/>
        </w:rPr>
        <w:t xml:space="preserve">但技术应用必须守住三条边界。第一，数字系统不得替代基础建设，而应补足其盲区；第二，算法与数据须接受无障碍审计，避免导航将使用者导向未经验证的危险捷径；第三，隐私与数据安全不可忽视——定位轨迹、出行习惯与身体状况均属于敏感信息，应坚持数据最小化、明确告知与本地化存储。科技的价值在于"让已知障碍被更快修复"，而非"让使用者独自适应缺陷"。</w:t>
      </w:r>
    </w:p>
    <w:p>
      <w:pPr>
        <w:pStyle w:val="Heading2"/>
      </w:pPr>
      <w:r>
        <w:rPr>
          <w:rFonts w:ascii="Times New Roman" w:cs="Times New Roman" w:eastAsia="黑体" w:hAnsi="Times New Roman"/>
        </w:rPr>
        <w:t xml:space="preserve">（四）建立视障群体参与的动态审计机制：从"自上而下"到"共同设计"</w:t>
      </w:r>
    </w:p>
    <w:p>
      <w:pPr>
        <w:spacing w:after="80" w:before="0" w:line="360"/>
        <w:ind w:firstLine="480"/>
      </w:pPr>
      <w:r>
        <w:rPr>
          <w:rFonts w:ascii="Times New Roman" w:cs="Times New Roman" w:eastAsia="宋体" w:hAnsi="Times New Roman"/>
          <w:sz w:val="24"/>
          <w:szCs w:val="24"/>
        </w:rPr>
        <w:t xml:space="preserve">改变"自上而下"的传统工程设计模式，是避免"断头盲道"与"危险盲道"最经济也最有效的手段。在道路规划、施工图审查与竣工验收环节，应制度化引入视障人士代表及非政府组织（如马来西亚盲人协会 MAB、地方残障组织）参与实地体验与无障碍审计，以盲杖行走、独立导航、模拟雨天与高峰时段等方式检验"图纸上看不到的障碍"。审计结果应与验收挂钩，未通过者不得交付使用。</w:t>
      </w:r>
    </w:p>
    <w:p>
      <w:pPr>
        <w:spacing w:after="80" w:before="0" w:line="360"/>
        <w:ind w:firstLine="480"/>
      </w:pPr>
      <w:r>
        <w:rPr>
          <w:rFonts w:ascii="Times New Roman" w:cs="Times New Roman" w:eastAsia="宋体" w:hAnsi="Times New Roman"/>
          <w:sz w:val="24"/>
          <w:szCs w:val="24"/>
        </w:rPr>
        <w:t xml:space="preserve">动态审计还应延伸至使用阶段：建立季度巡检与年度复评机制，将 TGSI 完好率、占道清除时效、路口 APS 可用率、使用者投诉闭环率纳入 PBT 绩效指标并向社会公开。参与不应被降格为"仪式性咨询"——当使用者的意见只被记录而不被回应，参与本身就成了另一种形式的排斥。真正的共同设计，意味着让视障者在方案形成之前就坐在桌前，而非在建成之后被邀请"体验一下"。</w:t>
      </w:r>
    </w:p>
    <w:p>
      <w:pPr>
        <w:spacing w:after="80" w:before="160"/>
        <w:jc w:val="center"/>
      </w:pPr>
      <w:r>
        <w:rPr>
          <w:rFonts w:ascii="Times New Roman" w:cs="Times New Roman" w:eastAsia="宋体" w:hAnsi="Times New Roman"/>
          <w:b/>
          <w:bCs/>
          <w:sz w:val="21"/>
          <w:szCs w:val="21"/>
        </w:rPr>
        <w:t xml:space="preserve">表4　优化路径的阶段任务与可衡量指标（建议性框架）</w:t>
      </w:r>
    </w:p>
    <w:tbl>
      <w:tblPr>
        <w:tblW w:type="dxa" w:w="9020"/>
        <w:tblBorders>
          <w:top w:val="single" w:color="auto" w:sz="4"/>
          <w:left w:val="single" w:color="auto" w:sz="4"/>
          <w:bottom w:val="single" w:color="auto" w:sz="4"/>
          <w:right w:val="single" w:color="auto" w:sz="4"/>
          <w:insideH w:val="single" w:color="auto" w:sz="4"/>
          <w:insideV w:val="single" w:color="auto" w:sz="4"/>
        </w:tblBorders>
      </w:tblPr>
      <w:tblGrid>
        <w:gridCol w:w="1700"/>
        <w:gridCol w:w="4100"/>
        <w:gridCol w:w="3220"/>
      </w:tblGrid>
      <w:tr>
        <w:trPr>
          <w:tblHeader/>
        </w:trPr>
        <w:tc>
          <w:tcPr>
            <w:tcW w:type="dxa" w:w="17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阶段</w:t>
            </w:r>
          </w:p>
        </w:tc>
        <w:tc>
          <w:tcPr>
            <w:tcW w:type="dxa" w:w="410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重点任务</w:t>
            </w:r>
          </w:p>
        </w:tc>
        <w:tc>
          <w:tcPr>
            <w:tcW w:type="dxa" w:w="3220"/>
            <w:tcBorders>
              <w:top w:val="single" w:color="888888" w:sz="4"/>
              <w:left w:val="single" w:color="888888" w:sz="4"/>
              <w:bottom w:val="single" w:color="888888" w:sz="4"/>
              <w:right w:val="single" w:color="888888" w:sz="4"/>
            </w:tcBorders>
            <w:shd w:fill="D9E2F3" w:val="clear"/>
            <w:tcMar>
              <w:top w:type="dxa" w:w="60"/>
              <w:left w:type="dxa" w:w="100"/>
              <w:bottom w:type="dxa" w:w="60"/>
              <w:right w:type="dxa" w:w="100"/>
            </w:tcMar>
            <w:vAlign w:val="center"/>
          </w:tcPr>
          <w:p>
            <w:pPr>
              <w:spacing w:after="0" w:line="300"/>
              <w:jc w:val="center"/>
            </w:pPr>
            <w:r>
              <w:rPr>
                <w:rFonts w:ascii="Times New Roman" w:cs="Times New Roman" w:eastAsia="宋体" w:hAnsi="Times New Roman"/>
                <w:b/>
                <w:bCs/>
                <w:sz w:val="21"/>
                <w:szCs w:val="21"/>
              </w:rPr>
              <w:t xml:space="preserve">可衡量指标（建议）</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短期（1—2年）</w:t>
            </w:r>
          </w:p>
        </w:tc>
        <w:tc>
          <w:tcPr>
            <w:tcW w:type="dxa" w:w="41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修订 Act 685 配套细则；建立示范走廊清单；部署 APS 与信标试点；搭建障碍上报平台</w:t>
            </w:r>
          </w:p>
        </w:tc>
        <w:tc>
          <w:tcPr>
            <w:tcW w:type="dxa" w:w="322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每项工程无障碍验收条款覆盖率；投诉平均响应时长；APS/信标可用率</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中期（3—5年）</w:t>
            </w:r>
          </w:p>
        </w:tc>
        <w:tc>
          <w:tcPr>
            <w:tcW w:type="dxa" w:w="41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扩展节点周边连续走廊；实施无障碍认证与年度审计；导航数据与市政地图对接</w:t>
            </w:r>
          </w:p>
        </w:tc>
        <w:tc>
          <w:tcPr>
            <w:tcW w:type="dxa" w:w="322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节点1公里内连续通行率；TGSI 完好率；审计整改完成率</w:t>
            </w:r>
          </w:p>
        </w:tc>
      </w:tr>
      <w:tr>
        <w:tc>
          <w:tcPr>
            <w:tcW w:type="dxa" w:w="17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长期（5年以上）</w:t>
            </w:r>
          </w:p>
        </w:tc>
        <w:tc>
          <w:tcPr>
            <w:tcW w:type="dxa" w:w="410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形成全域连贯网络；存量道路改造常态化；维护预算制度化</w:t>
            </w:r>
          </w:p>
        </w:tc>
        <w:tc>
          <w:tcPr>
            <w:tcW w:type="dxa" w:w="3220"/>
            <w:tcBorders>
              <w:top w:val="single" w:color="888888" w:sz="4"/>
              <w:left w:val="single" w:color="888888" w:sz="4"/>
              <w:bottom w:val="single" w:color="888888" w:sz="4"/>
              <w:right w:val="single" w:color="888888" w:sz="4"/>
            </w:tcBorders>
            <w:tcMar>
              <w:top w:type="dxa" w:w="60"/>
              <w:left w:type="dxa" w:w="100"/>
              <w:bottom w:type="dxa" w:w="60"/>
              <w:right w:type="dxa" w:w="100"/>
            </w:tcMar>
            <w:vAlign w:val="center"/>
          </w:tcPr>
          <w:p>
            <w:pPr>
              <w:spacing w:after="0" w:line="300"/>
              <w:jc w:val="left"/>
            </w:pPr>
            <w:r>
              <w:rPr>
                <w:rFonts w:ascii="Times New Roman" w:cs="Times New Roman" w:eastAsia="宋体" w:hAnsi="Times New Roman"/>
                <w:b w:val="false"/>
                <w:bCs w:val="false"/>
                <w:sz w:val="21"/>
                <w:szCs w:val="21"/>
              </w:rPr>
              <w:t xml:space="preserve">视障者独立出行成功率；通勤路径平均中断次数；满意度趋势</w:t>
            </w:r>
          </w:p>
        </w:tc>
      </w:tr>
    </w:tbl>
    <w:p>
      <w:pPr>
        <w:spacing w:after="160" w:before="60"/>
      </w:pPr>
      <w:r>
        <w:rPr>
          <w:rFonts w:ascii="Times New Roman" w:cs="Times New Roman" w:eastAsia="宋体" w:hAnsi="Times New Roman"/>
          <w:sz w:val="20"/>
          <w:szCs w:val="20"/>
        </w:rPr>
        <w:t xml:space="preserve">注：指标为本文提出的建议性框架，具体阈值需由 MPDK、JKR 与 PBT 结合本地基线数据协商确定。</w:t>
      </w:r>
    </w:p>
    <w:p>
      <w:pPr>
        <w:pStyle w:val="Heading1"/>
      </w:pPr>
      <w:r>
        <w:rPr>
          <w:rFonts w:ascii="Times New Roman" w:cs="Times New Roman" w:eastAsia="黑体" w:hAnsi="Times New Roman"/>
        </w:rPr>
        <w:t xml:space="preserve">五、伦理维度反思：无障碍是权利，而非恩惠</w:t>
      </w:r>
    </w:p>
    <w:p>
      <w:pPr>
        <w:spacing w:after="80" w:before="0" w:line="360"/>
        <w:ind w:firstLine="480"/>
      </w:pPr>
      <w:r>
        <w:rPr>
          <w:rFonts w:ascii="Times New Roman" w:cs="Times New Roman" w:eastAsia="宋体" w:hAnsi="Times New Roman"/>
          <w:sz w:val="24"/>
          <w:szCs w:val="24"/>
        </w:rPr>
        <w:t xml:space="preserve">在讨论"如何建"之前，必须先回答"为谁建、由谁定义"。视障群体并非需要被"同情性地照顾"的对象，而是与其所处环境订立平等契约的公民。无障碍环境建设的核心伦理，是把独立出行从慈善话语还原为基本权利：一个人能否安全地上学、就医、就业与社交，不应取决于其是否拥有"足够幸运"的街区。</w:t>
      </w:r>
    </w:p>
    <w:p>
      <w:pPr>
        <w:spacing w:after="80" w:before="0" w:line="360"/>
        <w:ind w:firstLine="480"/>
      </w:pPr>
      <w:r>
        <w:rPr>
          <w:rFonts w:ascii="Times New Roman" w:cs="Times New Roman" w:eastAsia="宋体" w:hAnsi="Times New Roman"/>
          <w:sz w:val="24"/>
          <w:szCs w:val="24"/>
        </w:rPr>
        <w:t xml:space="preserve">其一，尊严原则要求设施以"正常使用"而非"特殊施舍"的方式存在。单独的、隔离的、绕远的无障碍通道，表面上提供了通行，实则把残障者从公共生活的中心推到边缘。通用设计的要义，是让同一条路径同时服务推婴儿车的家长、年长者、临时受伤者与视障者——无障碍越好，城市对所有人越好。</w:t>
      </w:r>
    </w:p>
    <w:p>
      <w:pPr>
        <w:spacing w:after="80" w:before="0" w:line="360"/>
        <w:ind w:firstLine="480"/>
      </w:pPr>
      <w:r>
        <w:rPr>
          <w:rFonts w:ascii="Times New Roman" w:cs="Times New Roman" w:eastAsia="宋体" w:hAnsi="Times New Roman"/>
          <w:sz w:val="24"/>
          <w:szCs w:val="24"/>
        </w:rPr>
        <w:t xml:space="preserve">其二，参与原则要求"没有我们的参与，不要替我们做决定"（Nothing About Us Without Us）。视障者在空间感知、路线策略与风险判断上拥有不可替代的知识；把这种知识排除在设计之外，往往正是障碍产生的源头。MAB 等组织不应只扮演验收时的"试用者"，更应成为标准制定、预算审议与绩效评价的正式成员。</w:t>
      </w:r>
    </w:p>
    <w:p>
      <w:pPr>
        <w:spacing w:after="80" w:before="0" w:line="360"/>
        <w:ind w:firstLine="480"/>
      </w:pPr>
      <w:r>
        <w:rPr>
          <w:rFonts w:ascii="Times New Roman" w:cs="Times New Roman" w:eastAsia="宋体" w:hAnsi="Times New Roman"/>
          <w:sz w:val="24"/>
          <w:szCs w:val="24"/>
        </w:rPr>
        <w:t xml:space="preserve">其三，数据正义原则要求在智慧化过程中保护使用者。导航与上报系统若收集精确轨迹与健康状况，就必须以知情同意、最小必要、可删除与可审计为底线，防止"为便利而监控"滑向新的排斥。其四，分配正义原则要求资源向最需要者倾斜：当财政有限时，应优先保障学校、诊所、就业场所与公共交通之间的必要路径，而非在富人区与旅游区集中建设展示性项目。</w:t>
      </w:r>
    </w:p>
    <w:p>
      <w:pPr>
        <w:spacing w:after="80" w:before="0" w:line="360"/>
        <w:ind w:firstLine="480"/>
      </w:pPr>
      <w:r>
        <w:rPr>
          <w:rFonts w:ascii="Times New Roman" w:cs="Times New Roman" w:eastAsia="宋体" w:hAnsi="Times New Roman"/>
          <w:sz w:val="24"/>
          <w:szCs w:val="24"/>
        </w:rPr>
        <w:t xml:space="preserve">这些伦理要求并非对效率的拖累，反而是指引工程少走弯路的"防滑链"。一条由使用者共同设计、可被纠错、可被求助、可被维护的路径，才是真正可用的路径；反之，一座没有视障者参与验收的城市，即便铺满了点字块，也可能处处指向排水沟。</w:t>
      </w:r>
    </w:p>
    <w:p>
      <w:pPr>
        <w:pStyle w:val="Heading1"/>
      </w:pPr>
      <w:r>
        <w:rPr>
          <w:rFonts w:ascii="Times New Roman" w:cs="Times New Roman" w:eastAsia="黑体" w:hAnsi="Times New Roman"/>
        </w:rPr>
        <w:t xml:space="preserve">六、结语</w:t>
      </w:r>
    </w:p>
    <w:p>
      <w:pPr>
        <w:spacing w:after="80" w:before="0" w:line="360"/>
        <w:ind w:firstLine="480"/>
      </w:pPr>
      <w:r>
        <w:rPr>
          <w:rFonts w:ascii="Times New Roman" w:cs="Times New Roman" w:eastAsia="宋体" w:hAnsi="Times New Roman"/>
          <w:sz w:val="24"/>
          <w:szCs w:val="24"/>
        </w:rPr>
        <w:t xml:space="preserve">构建无障碍出行环境，不仅是保障残障人士基本生存与发展权的伦理要求，更是衡量一个国家城市文明与社会包容度的重要指标。马来西亚视障群体的出行困境，表面上是一段段断裂的盲道与一次次被占用的路沿，深层里却是城市规划的价值排序、法律的可执行性、财政的优先级与治理协同能力的综合映照。</w:t>
      </w:r>
    </w:p>
    <w:p>
      <w:pPr>
        <w:spacing w:after="80" w:before="0" w:line="360"/>
        <w:ind w:firstLine="480"/>
      </w:pPr>
      <w:r>
        <w:rPr>
          <w:rFonts w:ascii="Times New Roman" w:cs="Times New Roman" w:eastAsia="宋体" w:hAnsi="Times New Roman"/>
          <w:sz w:val="24"/>
          <w:szCs w:val="24"/>
        </w:rPr>
        <w:t xml:space="preserve">马来西亚亟需摆脱"以车为本"的单向规划思维：通过借鉴中国在规模化建设之后转向维护治理的经验，吸收日本与韩国以标准、认证和通用设计构建连续网络的做法，参照新加坡"分级示范＋连贯衔接＋可核验覆盖"的路径，并结合泰国、印尼等同处转型期国家的现实镜鉴，从补齐基础人行道短板入手，逐步打造无缝连接、安全可及的包容性城市步行网络。这一进程的关键，不在于某一年铺了多少公里，而在于每一年是否让视障者独立出行的中断次数更少、纠错路径更多、求助渠道更畅通。</w:t>
      </w:r>
    </w:p>
    <w:p>
      <w:pPr>
        <w:spacing w:after="80" w:before="0" w:line="360"/>
        <w:ind w:firstLine="480"/>
      </w:pPr>
      <w:r>
        <w:rPr>
          <w:rFonts w:ascii="Times New Roman" w:cs="Times New Roman" w:eastAsia="宋体" w:hAnsi="Times New Roman"/>
          <w:sz w:val="24"/>
          <w:szCs w:val="24"/>
        </w:rPr>
        <w:t xml:space="preserve">当一座城市愿意为最容易被遗漏的人重新设计一条路，它改善的其实是所有人的路。这，或许就是"无障碍"最朴素也最深远的含义。</w:t>
      </w:r>
    </w:p>
    <w:p>
      <w:r>
        <w:br w:type="page"/>
      </w:r>
    </w:p>
    <w:p>
      <w:pPr>
        <w:pStyle w:val="Heading1"/>
      </w:pPr>
      <w:r>
        <w:rPr>
          <w:rFonts w:ascii="Times New Roman" w:cs="Times New Roman" w:eastAsia="黑体" w:hAnsi="Times New Roman"/>
        </w:rPr>
        <w:t xml:space="preserve">参考文献</w:t>
      </w:r>
    </w:p>
    <w:p>
      <w:pPr>
        <w:spacing w:after="80" w:line="320"/>
        <w:ind w:left="480" w:hanging="480"/>
      </w:pPr>
      <w:r>
        <w:rPr>
          <w:rFonts w:ascii="Times New Roman" w:cs="Times New Roman" w:eastAsia="宋体" w:hAnsi="Times New Roman"/>
          <w:sz w:val="21"/>
          <w:szCs w:val="21"/>
        </w:rPr>
        <w:t xml:space="preserve">[1] Building and Construction Authority, Singapore. (2024). Code on accessibility in the built environment (2024 ed.). Singapore: Building and Construction Authority.</w:t>
      </w:r>
    </w:p>
    <w:p>
      <w:pPr>
        <w:spacing w:after="80" w:line="320"/>
        <w:ind w:left="480" w:hanging="480"/>
      </w:pPr>
      <w:r>
        <w:rPr>
          <w:rFonts w:ascii="Times New Roman" w:cs="Times New Roman" w:eastAsia="宋体" w:hAnsi="Times New Roman"/>
          <w:sz w:val="21"/>
          <w:szCs w:val="21"/>
        </w:rPr>
        <w:t xml:space="preserve">[2] Cabinet Office of Japan. (2024). Annual report on the implementation of the Act for Eliminating Discrimination against Persons with Disabilities (FY2023). Tokyo: Cabinet Office.</w:t>
      </w:r>
    </w:p>
    <w:p>
      <w:pPr>
        <w:spacing w:after="80" w:line="320"/>
        <w:ind w:left="480" w:hanging="480"/>
      </w:pPr>
      <w:r>
        <w:rPr>
          <w:rFonts w:ascii="Times New Roman" w:cs="Times New Roman" w:eastAsia="宋体" w:hAnsi="Times New Roman"/>
          <w:sz w:val="21"/>
          <w:szCs w:val="21"/>
        </w:rPr>
        <w:t xml:space="preserve">[3] Department of Statistics Malaysia (DOSM). (2024, August 1). Malaysia's population estimated to rise 1.9 pct to 34.1 mln in 2024. Putrajaya: Department of Statistics Malaysia.</w:t>
      </w:r>
    </w:p>
    <w:p>
      <w:pPr>
        <w:spacing w:after="80" w:line="320"/>
        <w:ind w:left="480" w:hanging="480"/>
      </w:pPr>
      <w:r>
        <w:rPr>
          <w:rFonts w:ascii="Times New Roman" w:cs="Times New Roman" w:eastAsia="宋体" w:hAnsi="Times New Roman"/>
          <w:sz w:val="21"/>
          <w:szCs w:val="21"/>
        </w:rPr>
        <w:t xml:space="preserve">[4] Government of Malaysia. (2008). Persons with Disabilities Act 2008 (Act 685). Kuala Lumpur: Commissioner of Law Revision, Malaysia.</w:t>
      </w:r>
    </w:p>
    <w:p>
      <w:pPr>
        <w:spacing w:after="80" w:line="320"/>
        <w:ind w:left="480" w:hanging="480"/>
      </w:pPr>
      <w:r>
        <w:rPr>
          <w:rFonts w:ascii="Times New Roman" w:cs="Times New Roman" w:eastAsia="宋体" w:hAnsi="Times New Roman"/>
          <w:sz w:val="21"/>
          <w:szCs w:val="21"/>
        </w:rPr>
        <w:t xml:space="preserve">[5] Government of Malaysia. (2025). Thirteenth Malaysia Plan (13MP, 2026–2030). Kuala Lumpur: Economic Planning Unit, Prime Minister's Department.</w:t>
      </w:r>
    </w:p>
    <w:p>
      <w:pPr>
        <w:spacing w:after="80" w:line="320"/>
        <w:ind w:left="480" w:hanging="480"/>
      </w:pPr>
      <w:r>
        <w:rPr>
          <w:rFonts w:ascii="Times New Roman" w:cs="Times New Roman" w:eastAsia="宋体" w:hAnsi="Times New Roman"/>
          <w:sz w:val="21"/>
          <w:szCs w:val="21"/>
        </w:rPr>
        <w:t xml:space="preserve">[6] Ministry of Land, Infrastructure and Transport, Republic of Korea. (2023). Guidelines for barrier-free certification and promotion of accessible environments. Sejong: Ministry of Land, Infrastructure and Transport.</w:t>
      </w:r>
    </w:p>
    <w:p>
      <w:pPr>
        <w:spacing w:after="80" w:line="320"/>
        <w:ind w:left="480" w:hanging="480"/>
      </w:pPr>
      <w:r>
        <w:rPr>
          <w:rFonts w:ascii="Times New Roman" w:cs="Times New Roman" w:eastAsia="宋体" w:hAnsi="Times New Roman"/>
          <w:sz w:val="21"/>
          <w:szCs w:val="21"/>
        </w:rPr>
        <w:t xml:space="preserve">[7] People's Republic of China: Ministry of Civil Affairs. (2023, June 28). 人民法院报无障碍环境法律制度速览 [A quick overview of legal systems for accessible environments]. People's Court Daily.</w:t>
      </w:r>
    </w:p>
    <w:p>
      <w:pPr>
        <w:spacing w:after="80" w:line="320"/>
        <w:ind w:left="480" w:hanging="480"/>
      </w:pPr>
      <w:r>
        <w:rPr>
          <w:rFonts w:ascii="Times New Roman" w:cs="Times New Roman" w:eastAsia="宋体" w:hAnsi="Times New Roman"/>
          <w:sz w:val="21"/>
          <w:szCs w:val="21"/>
        </w:rPr>
        <w:t xml:space="preserve">[8] People's Republic of China: National People's Congress. (2023). 中华人民共和国无障碍环境建设法 [Law of the People's Republic of China on the Construction of an Accessible Environment]. Beijing: Standing Committee of the National People's Congress.</w:t>
      </w:r>
    </w:p>
    <w:p>
      <w:pPr>
        <w:spacing w:after="80" w:line="320"/>
        <w:ind w:left="480" w:hanging="480"/>
      </w:pPr>
      <w:r>
        <w:rPr>
          <w:rFonts w:ascii="Times New Roman" w:cs="Times New Roman" w:eastAsia="宋体" w:hAnsi="Times New Roman"/>
          <w:sz w:val="21"/>
          <w:szCs w:val="21"/>
        </w:rPr>
        <w:t xml:space="preserve">[9] Public Works Department Malaysia (JKR). (2022). Arahan Teknik (Jalan) 8/86: A guide on the provision of non-motorised commuter facilities along federal roads (revised). Kuala Lumpur: Public Works Department Malaysia.</w:t>
      </w:r>
    </w:p>
    <w:p>
      <w:pPr>
        <w:spacing w:after="80" w:line="320"/>
        <w:ind w:left="480" w:hanging="480"/>
      </w:pPr>
      <w:r>
        <w:rPr>
          <w:rFonts w:ascii="Times New Roman" w:cs="Times New Roman" w:eastAsia="宋体" w:hAnsi="Times New Roman"/>
          <w:sz w:val="21"/>
          <w:szCs w:val="21"/>
        </w:rPr>
        <w:t xml:space="preserve">[10] World Health Organization. (2023). World report on vision. Geneva: World Health Organization.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宋体" w:hAnsi="Times New Roman"/>
        <w:sz w:val="18"/>
        <w:szCs w:val="18"/>
      </w:rPr>
      <w:t xml:space="preserve">第 </w:t>
    </w:r>
    <w:r>
      <w:rPr>
        <w:rFonts w:ascii="Times New Roman" w:cs="Times New Roman" w:eastAsia="宋体" w:hAnsi="Times New Roman"/>
        <w:sz w:val="18"/>
        <w:szCs w:val="18"/>
      </w:rPr>
      <w:fldChar w:fldCharType="begin"/>
      <w:instrText xml:space="preserve">PAGE</w:instrText>
      <w:fldChar w:fldCharType="separate"/>
      <w:fldChar w:fldCharType="end"/>
    </w:r>
    <w:r>
      <w:rPr>
        <w:rFonts w:ascii="Times New Roman" w:cs="Times New Roman" w:eastAsia="宋体" w:hAnsi="Times New Roman"/>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999999" w:sz="4" w:space="4"/>
      </w:pBdr>
      <w:jc w:val="right"/>
    </w:pPr>
    <w:r>
      <w:rPr>
        <w:rFonts w:ascii="Times New Roman" w:cs="Times New Roman" w:eastAsia="宋体" w:hAnsi="Times New Roman"/>
        <w:sz w:val="18"/>
        <w:szCs w:val="18"/>
      </w:rPr>
      <w:t xml:space="preserve">障壁重重的盲途——马来西亚视障群体出行困境研究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宋体"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00"/>
      <w:outlineLvl w:val="0"/>
    </w:pPr>
    <w:rPr>
      <w:rFonts w:ascii="Times New Roman" w:cs="Times New Roman" w:eastAsia="黑体" w:hAnsi="Times New Roman"/>
      <w:b/>
      <w:bCs/>
      <w:color w:val="000000"/>
      <w:sz w:val="32"/>
      <w:szCs w:val="32"/>
    </w:rPr>
  </w:style>
  <w:style w:type="paragraph" w:styleId="Heading2">
    <w:name w:val="Heading 2"/>
    <w:basedOn w:val="Normal"/>
    <w:next w:val="Normal"/>
    <w:qFormat/>
    <w:pPr>
      <w:spacing w:after="120" w:before="200"/>
      <w:outlineLvl w:val="1"/>
    </w:pPr>
    <w:rPr>
      <w:rFonts w:ascii="Times New Roman" w:cs="Times New Roman" w:eastAsia="黑体" w:hAnsi="Times New Roman"/>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2026-09-03T02:54:54.964Z</dcterms:created>
  <dcterms:modified xsi:type="dcterms:W3CDTF">2026-09-03T02:54:54.964Z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{"Label":"1","ContentProducer":"001191440300708461136T1WFUO","ProduceID":"bbb2c899401623cde0191ae17b441c9c-5tk4","ReservedCode1":"{\"Type\":\" TC260PG\",\"Version\":1,\"Bindings\":[{\"Type\":\"soft\",\"AlgID\":\"sm3\",\"Value\":\"ac431bdc8f7fad17fe49920144aa42e324a75a4c964659c08314442f8ef0f471\"},{\"Type\":\"hash\",\"AlgID\":\"sm3\",\"Value\":\"57b35379521e8e23bbc8066f996b469b3d1163e5d24040b828b670ed7642093d\"}],\"PubSD\":[{\"Type\":\"DS\",\"AlgID\":\"sm2\",\"TBSData\":{\"Type\":\"Binding\",\"BType\":\"hash\"},\"Signature\":\"30450220405f7083f16addc65aae21f1646f68e2c6a716ea21c870bbe141fbdf38632700022100e3fbefab52788d21c43c3f36cff2dc778160021ec7276a20ebd7b2674a5890fa\"},{\"Type\":\"PubKey\",\"AlgID\":\"sm2\",\"KeyValue\":\"0407f79b28a17a752b3aae4305c98b48978213832729a2571850b1310b2bc9fe8fee039ccf25ebfeac27502414d9fcef792d777183c98893d226171c2f7a3289a2\"}],\"Extension\":{\"Timestamp\":1788404120,\"KeyVersion\":\"v1-TxLeOmf7bqU223\"}}","ContentPropagator":"001191440300708461136T1WFUO","PropagateID":"bbb2c899401623cde0191ae17b441c9c-5tk4","ReservedCode2":"{\"Type\":\" TC260PG\",\"Version\":1,\"Bindings\":[{\"Type\":\"soft\",\"AlgID\":\"sm3\",\"Value\":\"ac431bdc8f7fad17fe49920144aa42e324a75a4c964659c08314442f8ef0f471\"},{\"Type\":\"hash\",\"AlgID\":\"sm3\",\"Value\":\"57b35379521e8e23bbc8066f996b469b3d1163e5d24040b828b670ed7642093d\"}],\"PubSD\":[{\"Type\":\"DS\",\"AlgID\":\"sm2\",\"TBSData\":{\"Type\":\"Binding\",\"BType\":\"hash\"},\"Signature\":\"3044022008dadf35b590256dbab42197e8aa77ac50e0d307020d961cc332e5a8adca37b902204a4af873afb4ea700e5cafac4016707f6bcc541ecd82c7d80782e6b8493756ae\"},{\"Type\":\"PubKey\",\"AlgID\":\"sm2\",\"KeyValue\":\"0407f79b28a17a752b3aae4305c98b48978213832729a2571850b1310b2bc9fe8fee039ccf25ebfeac27502414d9fcef792d777183c98893d226171c2f7a3289a2\"}],\"Extension\":{\"Timestamp\":1788404120,\"KeyVersion\":\"v1-TxLeOmf7bqU223\"}}"}</vt:lpwstr>
  </property>
</Properties>
</file>